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6</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关于《开展打击假冒政府网站制售假冒安全生产证书专项行动工作方案》的通知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各直属国有企业：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为认真贯彻落实《鄂尔多斯市东胜区安全生产委员会办公室关于开展打击假冒政府网站制售假冒安全生产证书专项行动工作方案的通知》（东安办发〔</w:t>
      </w:r>
      <w:r>
        <w:rPr>
          <w:rFonts w:hint="eastAsia" w:ascii="仿宋_GB2312" w:hAnsi="仿宋_GB2312" w:eastAsia="仿宋_GB2312" w:cs="仿宋_GB2312"/>
          <w:b w:val="0"/>
          <w:bCs w:val="0"/>
          <w:sz w:val="32"/>
          <w:szCs w:val="32"/>
          <w:lang w:val="en-US" w:eastAsia="zh-CN"/>
        </w:rPr>
        <w:t>2022〕13</w:t>
      </w:r>
      <w:r>
        <w:rPr>
          <w:rFonts w:hint="eastAsia" w:ascii="仿宋_GB2312" w:hAnsi="仿宋_GB2312" w:eastAsia="仿宋_GB2312" w:cs="仿宋_GB2312"/>
          <w:sz w:val="32"/>
          <w:szCs w:val="32"/>
          <w:lang w:val="en-US" w:eastAsia="zh-CN"/>
        </w:rPr>
        <w:t>号）文件</w:t>
      </w:r>
      <w:bookmarkStart w:id="0" w:name="_GoBack"/>
      <w:bookmarkEnd w:id="0"/>
      <w:r>
        <w:rPr>
          <w:rFonts w:hint="eastAsia" w:ascii="仿宋_GB2312" w:hAnsi="仿宋_GB2312" w:eastAsia="仿宋_GB2312" w:cs="仿宋_GB2312"/>
          <w:sz w:val="32"/>
          <w:szCs w:val="32"/>
          <w:lang w:val="en-US" w:eastAsia="zh-CN"/>
        </w:rPr>
        <w:t>精神，依法严厉打击不法分子假冒应急管理部门政府网站和证书信息查询平合，制售假冒特种作业操作证、安全生产知识和管理能力考核合格证等违法犯罪行为，将在东胜区国有企业范围内开展打击假冒政府网站制售假冒安全生产证书专项行动，请各区属国有企业按照要求，在本行业领域内部开展专项行动检查。现将有关工作要求部署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1.打击伪造、变造、买卖假冒安全生产证书，涉嫌伪造、变造、买卖国家机关公文、证件、印章的违法犯罪行为。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击利用互联网搭建假冒政府网站，提供假冒安全生产证书查验，涉嫌非法利用信息网络的违法犯罪行为，或为上述行为提供互联网接入、服务器托管、网络存储、通讯传输与技术支持，涉嫌帮助信息网络犯罪活动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3.打击利用网络媒体、在线平合等进行诸如免考、速成等虚假宣传，兜售假冒安全生产证书，诱导从业人员上当受骗，涉嫌诈骗的违法犯罪行为。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4.查处生产经营单位不依法履行安全生产主体责任，不利用国家正规平台认真核验从业人员安全生产证书的真伪，默许从业人员持有假证上岗的违法行为。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（一）组织部署阶段(2022年3月)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要求区属各国有企业结合本企业工作实际，制定具体工作方案，全面部署安排，广泛开展宣传，于2022年3月24日前将具体实施方案报送至东胜区国资委企管室。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（二）专项实施阶段（2022年3月至2022年4月)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1.自查自改。</w:t>
      </w:r>
      <w:r>
        <w:rPr>
          <w:rFonts w:hint="eastAsia" w:ascii="仿宋_GB2312" w:hAnsi="仿宋_GB2312" w:eastAsia="仿宋_GB2312" w:cs="仿宋_GB2312"/>
          <w:sz w:val="32"/>
          <w:szCs w:val="32"/>
          <w:lang w:val="en-US" w:eastAsia="zh-CN"/>
        </w:rPr>
        <w:t>各区直属国有企业要督促各子公司依法严格落实主体责任，对照相关法规规章要求，全面排查本企业“三项岗位”人员持证情况，通过应急管理部官网上全国统一的“特种作业操作证及安全生产知识和管理能力考核合格信息查询平合”(网址http://cx.mem.gov.cn)核验证书真伪，确保“三项岗位”人员所持证书合法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检查。各直属国有企业要对生产经营单位自查整改情况进行专项检查，对于专项检查过程中发现的使用假冒安全生产证书行为，必须向国资委报告。对于各渠道获得的假冒政府网站制售假冒安全生产证书的涉案线索，要及时移送公安部门，并积极配合依法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3.信息报送。要求各区直属国有企业要确定联络员，于每月1日前将上月工作开展情况小结和月报表以电子文档形式发送到指定邮箱。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（三）总结完善阶段（2022年5月)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各企业要认真总结专项行动工作情况，剖析典型案例，提炼工作经验，研究长效机制，形成书面报告于2022年4月15日前报送亿昌现代城B座2517室。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（一）提高思想认识，加强组织领导。</w:t>
      </w:r>
      <w:r>
        <w:rPr>
          <w:rFonts w:hint="eastAsia" w:ascii="仿宋_GB2312" w:hAnsi="仿宋_GB2312" w:eastAsia="仿宋_GB2312" w:cs="仿宋_GB2312"/>
          <w:sz w:val="32"/>
          <w:szCs w:val="32"/>
          <w:lang w:val="en-US" w:eastAsia="zh-CN"/>
        </w:rPr>
        <w:t>各企业和单位要充分认识伪造、变造、买卖假冒安全生产证书给企业生产经营活动带来的重大事故隐患，充分认识利用网络等进行虚假宣传、在线兜售假冒安全生产证书、提供虚假信息查询带来的严重危害和恶劣影响。要提高思想认识，加强组织领导，细化落实责任，迅速部署开展专项行动，切实抓好组织实施，确保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（二）做好协调联动，强化打击力度。</w:t>
      </w:r>
      <w:r>
        <w:rPr>
          <w:rFonts w:hint="eastAsia" w:ascii="仿宋_GB2312" w:hAnsi="仿宋_GB2312" w:eastAsia="仿宋_GB2312" w:cs="仿宋_GB2312"/>
          <w:sz w:val="32"/>
          <w:szCs w:val="32"/>
          <w:lang w:val="en-US" w:eastAsia="zh-CN"/>
        </w:rPr>
        <w:t>各企业要加强沟通合作和区域间协作配合，建立协调联动和会商工作机制，加强信息共享，确保专项行动高效有序开展。要配齐配强专项行动力量，充分发挥统筹协调、督促指导作用，推动各项工作落实落细。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（三）畅通举报渠道，发挥公众监督。</w:t>
      </w:r>
      <w:r>
        <w:rPr>
          <w:rFonts w:hint="eastAsia" w:ascii="仿宋_GB2312" w:hAnsi="仿宋_GB2312" w:eastAsia="仿宋_GB2312" w:cs="仿宋_GB2312"/>
          <w:sz w:val="32"/>
          <w:szCs w:val="32"/>
          <w:lang w:val="en-US" w:eastAsia="zh-CN"/>
        </w:rPr>
        <w:t>各企业要发挥社会公众、企业职工监督作用，畅通举报热线，鼓励社会公众、企业职工举报假冒政府网站、制售假冒安全生产证书违法行为线索。加强安全生产培训考试政策和假证危害等宣传，形成高压震慑态势，营造良好社会氛围。鄂尔多斯市打击假冒政府网站制售假冒安全生产证书专项行动举报电话：0477-12345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（四）严格依法查处，强化责任追究。</w:t>
      </w:r>
      <w:r>
        <w:rPr>
          <w:rFonts w:hint="eastAsia" w:ascii="仿宋_GB2312" w:hAnsi="仿宋_GB2312" w:eastAsia="仿宋_GB2312" w:cs="仿宋_GB2312"/>
          <w:sz w:val="32"/>
          <w:szCs w:val="32"/>
          <w:lang w:val="en-US" w:eastAsia="zh-CN"/>
        </w:rPr>
        <w:t>各企业对发现的问题线索，要积极配合公安部门坚持一查到底，查处背后的各类违规、违法犯罪行为，依法从严从重追究责任。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（五）建立长效机制，实施常态化打假。</w:t>
      </w:r>
      <w:r>
        <w:rPr>
          <w:rFonts w:hint="eastAsia" w:ascii="仿宋_GB2312" w:hAnsi="仿宋_GB2312" w:eastAsia="仿宋_GB2312" w:cs="仿宋_GB2312"/>
          <w:sz w:val="32"/>
          <w:szCs w:val="32"/>
          <w:lang w:val="en-US" w:eastAsia="zh-CN"/>
        </w:rPr>
        <w:t>各企业要以此次专项行动为契机，建立协作配合打假长效工作机制，常态化开展打假工作。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区国资委联系人：王学波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联系电话：19147170000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"mailto:411683576@qq.com" </w:instrText>
      </w:r>
      <w:r>
        <w:rPr>
          <w:rFonts w:hint="eastAsia" w:ascii="仿宋_GB2312" w:hAnsi="仿宋_GB2312" w:eastAsia="仿宋_GB2312" w:cs="仿宋_GB2312"/>
          <w:sz w:val="32"/>
          <w:szCs w:val="32"/>
          <w:lang w:val="en-US" w:eastAsia="zh-CN"/>
        </w:rPr>
        <w:fldChar w:fldCharType="separate"/>
      </w:r>
      <w:r>
        <w:rPr>
          <w:rStyle w:val="12"/>
          <w:rFonts w:hint="eastAsia" w:ascii="仿宋_GB2312" w:hAnsi="仿宋_GB2312" w:eastAsia="仿宋_GB2312" w:cs="仿宋_GB2312"/>
          <w:sz w:val="32"/>
          <w:szCs w:val="32"/>
          <w:lang w:val="en-US" w:eastAsia="zh-CN"/>
        </w:rPr>
        <w:t>411683576@qq.com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区公安分局联系人：魏建国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联系电话：18248149000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附件：1.专项行动月报表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lang w:val="en-US" w:eastAsia="zh-CN"/>
        </w:rPr>
      </w:pPr>
      <w:r>
        <w:rPr>
          <w:rFonts w:hint="eastAsia" w:ascii="仿宋_GB2312" w:hAnsi="仿宋_GB2312" w:eastAsia="仿宋_GB2312" w:cs="仿宋_GB2312"/>
          <w:sz w:val="32"/>
          <w:szCs w:val="32"/>
          <w:lang w:val="en-US" w:eastAsia="zh-CN"/>
        </w:rPr>
        <w:t>2.专项行动联络员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鄂尔多斯市东胜区国有资产监督管理委员会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2022年3月23日</w:t>
      </w: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仿宋_GB2312" w:eastAsia="仿宋_GB2312" w:cs="仿宋_GB2312"/>
          <w:sz w:val="32"/>
          <w:szCs w:val="32"/>
        </w:rPr>
      </w:pPr>
    </w:p>
    <w:p>
      <w:pPr>
        <w:rPr>
          <w:rFonts w:hint="eastAsia"/>
          <w:lang w:val="en-US" w:eastAsia="zh-CN"/>
        </w:rPr>
      </w:pPr>
    </w:p>
    <w:p>
      <w:pPr>
        <w:pStyle w:val="2"/>
        <w:rPr>
          <w:rFonts w:hint="eastAsia"/>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13"/>
        <w:keepNext w:val="0"/>
        <w:keepLines w:val="0"/>
        <w:pageBreakBefore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sz w:val="28"/>
          <w:szCs w:val="28"/>
          <w:shd w:val="clear" w:color="auto" w:fill="FFFFFF"/>
        </w:rPr>
      </w:pPr>
      <w:r>
        <w:rPr>
          <w:rFonts w:hint="eastAsia" w:ascii="方正小标宋简体" w:hAnsi="方正小标宋简体" w:eastAsia="方正小标宋简体" w:cs="方正小标宋简体"/>
          <w:b w:val="0"/>
          <w:bCs w:val="0"/>
          <w:sz w:val="44"/>
          <w:szCs w:val="44"/>
        </w:rPr>
        <w:t>专项行动月报表</w:t>
      </w:r>
    </w:p>
    <w:p>
      <w:pPr>
        <w:pStyle w:val="13"/>
        <w:keepNext w:val="0"/>
        <w:keepLines w:val="0"/>
        <w:pageBreakBefore w:val="0"/>
        <w:kinsoku/>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sz w:val="28"/>
          <w:szCs w:val="28"/>
          <w:shd w:val="clear" w:color="auto" w:fill="FFFFFF"/>
        </w:rPr>
      </w:pPr>
      <w:r>
        <w:rPr>
          <w:rFonts w:hint="eastAsia" w:ascii="仿宋_GB2312" w:hAnsi="仿宋_GB2312" w:eastAsia="仿宋_GB2312" w:cs="仿宋_GB2312"/>
          <w:b w:val="0"/>
          <w:bCs w:val="0"/>
          <w:sz w:val="28"/>
          <w:szCs w:val="28"/>
          <w:shd w:val="clear" w:color="auto" w:fill="FFFFFF"/>
        </w:rPr>
        <w:t>填报单位（盖章）：</w:t>
      </w:r>
      <w:r>
        <w:rPr>
          <w:rFonts w:hint="eastAsia" w:ascii="仿宋_GB2312" w:hAnsi="仿宋_GB2312" w:eastAsia="仿宋_GB2312" w:cs="仿宋_GB2312"/>
          <w:b w:val="0"/>
          <w:bCs w:val="0"/>
          <w:sz w:val="28"/>
          <w:szCs w:val="28"/>
          <w:shd w:val="clear" w:color="auto" w:fill="FFFFFF"/>
          <w:lang w:val="en-US" w:eastAsia="zh-CN"/>
        </w:rPr>
        <w:t xml:space="preserve">                                                  </w:t>
      </w:r>
      <w:r>
        <w:rPr>
          <w:rFonts w:hint="eastAsia" w:ascii="仿宋_GB2312" w:hAnsi="仿宋_GB2312" w:eastAsia="仿宋_GB2312" w:cs="仿宋_GB2312"/>
          <w:b w:val="0"/>
          <w:bCs w:val="0"/>
          <w:sz w:val="28"/>
          <w:szCs w:val="28"/>
          <w:shd w:val="clear" w:color="auto" w:fill="FFFFFF"/>
        </w:rPr>
        <w:t>填报时间：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1114"/>
        <w:gridCol w:w="453"/>
        <w:gridCol w:w="843"/>
        <w:gridCol w:w="514"/>
        <w:gridCol w:w="745"/>
        <w:gridCol w:w="1498"/>
        <w:gridCol w:w="9"/>
        <w:gridCol w:w="830"/>
        <w:gridCol w:w="345"/>
        <w:gridCol w:w="490"/>
        <w:gridCol w:w="794"/>
        <w:gridCol w:w="914"/>
        <w:gridCol w:w="282"/>
        <w:gridCol w:w="123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510" w:type="dxa"/>
            <w:gridSpan w:val="4"/>
            <w:tcBorders>
              <w:tl2br w:val="single" w:color="auto"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firstLine="2730" w:firstLineChars="1300"/>
              <w:jc w:val="both"/>
              <w:textAlignment w:val="auto"/>
              <w:rPr>
                <w:rFonts w:hint="eastAsia" w:ascii="仿宋_GB2312" w:hAnsi="仿宋_GB2312" w:eastAsia="仿宋_GB2312" w:cs="仿宋_GB2312"/>
                <w:b w:val="0"/>
                <w:bCs w:val="0"/>
                <w:sz w:val="21"/>
                <w:szCs w:val="21"/>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firstLine="2730" w:firstLineChars="130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行业</w:t>
            </w:r>
          </w:p>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210" w:firstLineChars="1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w:t>
            </w:r>
          </w:p>
        </w:tc>
        <w:tc>
          <w:tcPr>
            <w:tcW w:w="843"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煤矿</w:t>
            </w:r>
          </w:p>
        </w:tc>
        <w:tc>
          <w:tcPr>
            <w:tcW w:w="1259"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非煤矿山</w:t>
            </w:r>
          </w:p>
        </w:tc>
        <w:tc>
          <w:tcPr>
            <w:tcW w:w="1498"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危险化学品</w:t>
            </w:r>
          </w:p>
        </w:tc>
        <w:tc>
          <w:tcPr>
            <w:tcW w:w="1184" w:type="dxa"/>
            <w:gridSpan w:val="3"/>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烟花爆竹</w:t>
            </w:r>
          </w:p>
        </w:tc>
        <w:tc>
          <w:tcPr>
            <w:tcW w:w="1284"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金属冶炼</w:t>
            </w:r>
          </w:p>
        </w:tc>
        <w:tc>
          <w:tcPr>
            <w:tcW w:w="1196"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工贸行业</w:t>
            </w:r>
          </w:p>
        </w:tc>
        <w:tc>
          <w:tcPr>
            <w:tcW w:w="1231"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其他企业</w:t>
            </w:r>
          </w:p>
        </w:tc>
        <w:tc>
          <w:tcPr>
            <w:tcW w:w="1112"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510" w:type="dxa"/>
            <w:gridSpan w:val="4"/>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检查数（家）</w:t>
            </w:r>
          </w:p>
        </w:tc>
        <w:tc>
          <w:tcPr>
            <w:tcW w:w="843"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259"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498"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184" w:type="dxa"/>
            <w:gridSpan w:val="3"/>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284"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196"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231"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112"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restart"/>
            <w:tcBorders>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执</w:t>
            </w:r>
          </w:p>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法</w:t>
            </w:r>
          </w:p>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情</w:t>
            </w:r>
          </w:p>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况</w:t>
            </w:r>
          </w:p>
        </w:tc>
        <w:tc>
          <w:tcPr>
            <w:tcW w:w="1195" w:type="dxa"/>
            <w:vMerge w:val="restart"/>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假冒证件（个）</w:t>
            </w: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A特种作业证</w:t>
            </w:r>
          </w:p>
        </w:tc>
        <w:tc>
          <w:tcPr>
            <w:tcW w:w="843" w:type="dxa"/>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31" w:type="dxa"/>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12" w:type="dxa"/>
            <w:tcBorders>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continue"/>
            <w:tcBorders>
              <w:top w:val="nil"/>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5" w:type="dxa"/>
            <w:vMerge w:val="continue"/>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B安全合格证</w:t>
            </w:r>
          </w:p>
        </w:tc>
        <w:tc>
          <w:tcPr>
            <w:tcW w:w="843"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231" w:type="dxa"/>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112"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continue"/>
            <w:tcBorders>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5" w:type="dxa"/>
            <w:vMerge w:val="restart"/>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逾期证件（个）</w:t>
            </w: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A</w:t>
            </w:r>
          </w:p>
        </w:tc>
        <w:tc>
          <w:tcPr>
            <w:tcW w:w="843"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31" w:type="dxa"/>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12"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continue"/>
            <w:tcBorders>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5" w:type="dxa"/>
            <w:vMerge w:val="continue"/>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B</w:t>
            </w:r>
          </w:p>
        </w:tc>
        <w:tc>
          <w:tcPr>
            <w:tcW w:w="843"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231" w:type="dxa"/>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112"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continue"/>
            <w:tcBorders>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5" w:type="dxa"/>
            <w:vMerge w:val="restart"/>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无证上岗（人）</w:t>
            </w: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A</w:t>
            </w:r>
          </w:p>
        </w:tc>
        <w:tc>
          <w:tcPr>
            <w:tcW w:w="843"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31" w:type="dxa"/>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12"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vMerge w:val="continue"/>
            <w:tcBorders>
              <w:bottom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5" w:type="dxa"/>
            <w:vMerge w:val="continue"/>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567" w:type="dxa"/>
            <w:gridSpan w:val="2"/>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B</w:t>
            </w:r>
          </w:p>
        </w:tc>
        <w:tc>
          <w:tcPr>
            <w:tcW w:w="843"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231" w:type="dxa"/>
            <w:tcBorders>
              <w:top w:val="single" w:color="000000" w:sz="4" w:space="0"/>
              <w:bottom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w:t>
            </w:r>
          </w:p>
        </w:tc>
        <w:tc>
          <w:tcPr>
            <w:tcW w:w="1112" w:type="dxa"/>
            <w:tcBorders>
              <w:top w:val="single" w:color="000000" w:sz="4" w:space="0"/>
              <w:bottom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8" w:type="dxa"/>
            <w:tcBorders>
              <w:top w:val="nil"/>
            </w:tcBorders>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634"/>
              <w:textAlignment w:val="auto"/>
              <w:rPr>
                <w:rFonts w:hint="eastAsia" w:ascii="仿宋_GB2312" w:hAnsi="仿宋_GB2312" w:eastAsia="仿宋_GB2312" w:cs="仿宋_GB2312"/>
                <w:b w:val="0"/>
                <w:bCs w:val="0"/>
                <w:kern w:val="2"/>
                <w:sz w:val="21"/>
                <w:szCs w:val="21"/>
              </w:rPr>
            </w:pPr>
          </w:p>
        </w:tc>
        <w:tc>
          <w:tcPr>
            <w:tcW w:w="2762" w:type="dxa"/>
            <w:gridSpan w:val="3"/>
            <w:noWrap w:val="0"/>
            <w:vAlign w:val="center"/>
          </w:tcPr>
          <w:p>
            <w:pPr>
              <w:pStyle w:val="1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实施经济处罚</w:t>
            </w:r>
          </w:p>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 w:val="0"/>
                <w:bCs w:val="0"/>
                <w:kern w:val="2"/>
                <w:sz w:val="21"/>
                <w:szCs w:val="21"/>
              </w:rPr>
              <w:t>（万元）</w:t>
            </w:r>
          </w:p>
        </w:tc>
        <w:tc>
          <w:tcPr>
            <w:tcW w:w="843" w:type="dxa"/>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59" w:type="dxa"/>
            <w:gridSpan w:val="2"/>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498" w:type="dxa"/>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84" w:type="dxa"/>
            <w:gridSpan w:val="3"/>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84" w:type="dxa"/>
            <w:gridSpan w:val="2"/>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96" w:type="dxa"/>
            <w:gridSpan w:val="2"/>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231" w:type="dxa"/>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c>
          <w:tcPr>
            <w:tcW w:w="1112" w:type="dxa"/>
            <w:tcBorders>
              <w:top w:val="single" w:color="000000" w:sz="4" w:space="0"/>
            </w:tcBorders>
            <w:noWrap w:val="0"/>
            <w:vAlign w:val="top"/>
          </w:tcPr>
          <w:p>
            <w:pPr>
              <w:pStyle w:val="15"/>
              <w:keepNext w:val="0"/>
              <w:keepLines w:val="0"/>
              <w:pageBreakBefore w:val="0"/>
              <w:kinsoku/>
              <w:wordWrap/>
              <w:overflowPunct/>
              <w:topLinePunct w:val="0"/>
              <w:autoSpaceDE/>
              <w:autoSpaceDN/>
              <w:bidi w:val="0"/>
              <w:adjustRightInd/>
              <w:snapToGrid/>
              <w:spacing w:line="300" w:lineRule="exact"/>
              <w:ind w:left="0" w:leftChars="0" w:firstLine="473"/>
              <w:textAlignment w:val="auto"/>
              <w:rPr>
                <w:rFonts w:hint="eastAsia" w:ascii="仿宋_GB2312" w:hAnsi="仿宋_GB2312" w:eastAsia="仿宋_GB2312" w:cs="仿宋_GB2312"/>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3117" w:type="dxa"/>
            <w:gridSpan w:val="17"/>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查处假冒政府网站制售假冒安全生产证书情况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57" w:type="dxa"/>
            <w:gridSpan w:val="3"/>
            <w:vMerge w:val="restart"/>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Style w:val="11"/>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项目</w:t>
            </w:r>
          </w:p>
        </w:tc>
        <w:tc>
          <w:tcPr>
            <w:tcW w:w="1810" w:type="dxa"/>
            <w:gridSpan w:val="3"/>
            <w:vMerge w:val="restart"/>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假冒网站（个）</w:t>
            </w:r>
          </w:p>
        </w:tc>
        <w:tc>
          <w:tcPr>
            <w:tcW w:w="2252" w:type="dxa"/>
            <w:gridSpan w:val="3"/>
            <w:vMerge w:val="restart"/>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非法制售窝点（个）</w:t>
            </w:r>
          </w:p>
        </w:tc>
        <w:tc>
          <w:tcPr>
            <w:tcW w:w="1665" w:type="dxa"/>
            <w:gridSpan w:val="3"/>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Style w:val="11"/>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假冒证件（个）</w:t>
            </w:r>
          </w:p>
        </w:tc>
        <w:tc>
          <w:tcPr>
            <w:tcW w:w="1708" w:type="dxa"/>
            <w:gridSpan w:val="2"/>
            <w:vMerge w:val="restart"/>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移交涉案线索（条）</w:t>
            </w:r>
          </w:p>
        </w:tc>
        <w:tc>
          <w:tcPr>
            <w:tcW w:w="2625" w:type="dxa"/>
            <w:gridSpan w:val="3"/>
            <w:vMerge w:val="restart"/>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公安部门拘留制假人员（人）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057" w:type="dxa"/>
            <w:gridSpan w:val="3"/>
            <w:vMerge w:val="continue"/>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810" w:type="dxa"/>
            <w:gridSpan w:val="3"/>
            <w:vMerge w:val="continue"/>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2252" w:type="dxa"/>
            <w:gridSpan w:val="3"/>
            <w:vMerge w:val="continue"/>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830" w:type="dxa"/>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Style w:val="11"/>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A</w:t>
            </w:r>
          </w:p>
        </w:tc>
        <w:tc>
          <w:tcPr>
            <w:tcW w:w="835" w:type="dxa"/>
            <w:gridSpan w:val="2"/>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Style w:val="11"/>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B</w:t>
            </w:r>
          </w:p>
        </w:tc>
        <w:tc>
          <w:tcPr>
            <w:tcW w:w="1708" w:type="dxa"/>
            <w:gridSpan w:val="2"/>
            <w:vMerge w:val="continue"/>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2625" w:type="dxa"/>
            <w:gridSpan w:val="3"/>
            <w:vMerge w:val="continue"/>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57" w:type="dxa"/>
            <w:gridSpan w:val="3"/>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数 量</w:t>
            </w:r>
          </w:p>
        </w:tc>
        <w:tc>
          <w:tcPr>
            <w:tcW w:w="1810" w:type="dxa"/>
            <w:gridSpan w:val="3"/>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2252" w:type="dxa"/>
            <w:gridSpan w:val="3"/>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830" w:type="dxa"/>
            <w:tcBorders>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835" w:type="dxa"/>
            <w:gridSpan w:val="2"/>
            <w:tcBorders>
              <w:lef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1708" w:type="dxa"/>
            <w:gridSpan w:val="2"/>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c>
          <w:tcPr>
            <w:tcW w:w="2625" w:type="dxa"/>
            <w:gridSpan w:val="3"/>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57" w:type="dxa"/>
            <w:gridSpan w:val="3"/>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r>
              <w:rPr>
                <w:rStyle w:val="11"/>
                <w:rFonts w:hint="eastAsia" w:ascii="仿宋_GB2312" w:hAnsi="仿宋_GB2312" w:eastAsia="仿宋_GB2312" w:cs="仿宋_GB2312"/>
                <w:b w:val="0"/>
                <w:bCs w:val="0"/>
                <w:sz w:val="21"/>
                <w:szCs w:val="21"/>
              </w:rPr>
              <w:t>典型违法案件专报</w:t>
            </w:r>
          </w:p>
        </w:tc>
        <w:tc>
          <w:tcPr>
            <w:tcW w:w="10060" w:type="dxa"/>
            <w:gridSpan w:val="14"/>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both"/>
              <w:textAlignment w:val="auto"/>
              <w:rPr>
                <w:rFonts w:hint="eastAsia" w:ascii="仿宋_GB2312" w:hAnsi="仿宋_GB2312" w:eastAsia="仿宋_GB2312" w:cs="仿宋_GB2312"/>
                <w:b w:val="0"/>
                <w:bCs w:val="0"/>
                <w:sz w:val="21"/>
                <w:szCs w:val="21"/>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00" w:lineRule="exact"/>
              <w:ind w:left="0" w:leftChars="0"/>
              <w:jc w:val="center"/>
              <w:textAlignment w:val="auto"/>
              <w:rPr>
                <w:rFonts w:hint="eastAsia" w:ascii="仿宋_GB2312" w:hAnsi="仿宋_GB2312" w:eastAsia="仿宋_GB2312" w:cs="仿宋_GB2312"/>
                <w:b w:val="0"/>
                <w:bCs w:val="0"/>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shd w:val="clear" w:color="auto" w:fill="FFFFFF"/>
        </w:rPr>
      </w:pPr>
      <w:r>
        <w:rPr>
          <w:rFonts w:hint="eastAsia" w:ascii="仿宋_GB2312" w:hAnsi="仿宋_GB2312" w:eastAsia="仿宋_GB2312" w:cs="仿宋_GB2312"/>
          <w:b w:val="0"/>
          <w:bCs w:val="0"/>
          <w:sz w:val="21"/>
          <w:szCs w:val="21"/>
          <w:shd w:val="clear" w:color="auto" w:fill="FFFFFF"/>
        </w:rPr>
        <w:t xml:space="preserve">填报人：                                               </w:t>
      </w:r>
      <w:r>
        <w:rPr>
          <w:rFonts w:hint="eastAsia" w:ascii="仿宋_GB2312" w:hAnsi="仿宋_GB2312" w:eastAsia="仿宋_GB2312" w:cs="仿宋_GB2312"/>
          <w:b w:val="0"/>
          <w:bCs w:val="0"/>
          <w:sz w:val="21"/>
          <w:szCs w:val="21"/>
          <w:shd w:val="clear" w:color="auto" w:fill="FFFFFF"/>
          <w:lang w:val="en-US" w:eastAsia="zh-CN"/>
        </w:rPr>
        <w:t xml:space="preserve">                              </w:t>
      </w:r>
      <w:r>
        <w:rPr>
          <w:rFonts w:hint="eastAsia" w:ascii="仿宋_GB2312" w:hAnsi="仿宋_GB2312" w:eastAsia="仿宋_GB2312" w:cs="仿宋_GB2312"/>
          <w:b w:val="0"/>
          <w:bCs w:val="0"/>
          <w:sz w:val="21"/>
          <w:szCs w:val="21"/>
          <w:shd w:val="clear" w:color="auto" w:fill="FFFFFF"/>
        </w:rPr>
        <w:t>联系电话：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shd w:val="clear" w:color="auto" w:fill="FFFFFF"/>
        </w:rPr>
        <w:sectPr>
          <w:pgSz w:w="16838" w:h="11906" w:orient="landscape"/>
          <w:pgMar w:top="1587" w:right="2098" w:bottom="1474" w:left="1984" w:header="851" w:footer="992" w:gutter="0"/>
          <w:pgNumType w:fmt="numberInDash"/>
          <w:cols w:space="720" w:num="1"/>
          <w:rtlGutter w:val="0"/>
          <w:docGrid w:type="lines" w:linePitch="442" w:charSpace="0"/>
        </w:sectPr>
      </w:pPr>
    </w:p>
    <w:p>
      <w:pPr>
        <w:pStyle w:val="16"/>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cs="黑体"/>
          <w:b w:val="0"/>
          <w:bCs w:val="0"/>
          <w:sz w:val="32"/>
          <w:szCs w:val="32"/>
          <w:lang w:val="en-US" w:eastAsia="zh-CN"/>
        </w:rPr>
        <w:t>2</w:t>
      </w:r>
    </w:p>
    <w:p>
      <w:pPr>
        <w:pStyle w:val="15"/>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pStyle w:val="15"/>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专项行动联络员表</w:t>
      </w:r>
    </w:p>
    <w:p>
      <w:pPr>
        <w:pStyle w:val="16"/>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填报单位（盖章）：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240"/>
        <w:gridCol w:w="25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单位及部门</w:t>
            </w: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3240"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2535"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c>
          <w:tcPr>
            <w:tcW w:w="1223" w:type="dxa"/>
            <w:noWrap w:val="0"/>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shd w:val="clear" w:color="auto" w:fill="FFFFFF"/>
        </w:rPr>
      </w:pPr>
    </w:p>
    <w:p>
      <w:pPr>
        <w:pStyle w:val="2"/>
        <w:rPr>
          <w:rFonts w:hint="eastAsia"/>
          <w:lang w:val="en-US" w:eastAsia="zh-CN"/>
        </w:rPr>
        <w:sectPr>
          <w:pgSz w:w="11906" w:h="16838"/>
          <w:pgMar w:top="2098" w:right="1474" w:bottom="1984" w:left="1587" w:header="851" w:footer="992" w:gutter="0"/>
          <w:pgNumType w:fmt="numberInDash"/>
          <w:cols w:space="425" w:num="1"/>
          <w:docGrid w:type="lines" w:linePitch="312" w:charSpace="0"/>
        </w:sectPr>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spacing w:line="560" w:lineRule="exact"/>
        <w:ind w:left="0" w:leftChars="0" w:right="0" w:rightChars="0" w:firstLine="210" w:firstLineChars="100"/>
        <w:textAlignment w:val="auto"/>
        <w:rPr>
          <w:rFonts w:hint="default" w:eastAsia="仿宋_GB2312"/>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wp:posOffset>
                </wp:positionV>
                <wp:extent cx="5600700" cy="12700"/>
                <wp:effectExtent l="0" t="6350"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pt;height:1pt;width:441pt;z-index:251662336;mso-width-relative:page;mso-height-relative:page;" filled="f" stroked="t" coordsize="21600,21600" o:gfxdata="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RAHk0wAAAAQB&#10;AAAPAAAAAAAAAAEAIAAAACIAAABkcnMvZG93bnJldi54bWxQSwECFAAUAAAACACHTuJAgIb3DecB&#10;AAC9AwAADgAAAAAAAAABACAAAAAiAQAAZHJzL2Uyb0RvYy54bWxQSwUGAAAAAAYABgBZAQAAewUA&#10;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367665</wp:posOffset>
                </wp:positionV>
                <wp:extent cx="5600700" cy="12700"/>
                <wp:effectExtent l="0" t="6350" r="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8.95pt;height:1pt;width:441pt;z-index:251661312;mso-width-relative:page;mso-height-relative:page;" filled="f" stroked="t" coordsize="21600,21600" o:gfxdata="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BYTWAAAA&#10;BgEAAA8AAAAAAAAAAQAgAAAAIgAAAGRycy9kb3ducmV2LnhtbFBLAQIUABQAAAAIAIdO4kArrUqz&#10;5gEAAL0DAAAOAAAAAAAAAAEAIAAAACUBAABkcnMvZTJvRG9jLnhtbFBLBQYAAAAABgAGAFkBAAB9&#1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鄂尔多斯市东胜区国有资产监督管理委员会</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23日印发</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2C5"/>
    <w:rsid w:val="02691984"/>
    <w:rsid w:val="098350DA"/>
    <w:rsid w:val="0DE93979"/>
    <w:rsid w:val="0FA26822"/>
    <w:rsid w:val="11904838"/>
    <w:rsid w:val="149452C5"/>
    <w:rsid w:val="15793835"/>
    <w:rsid w:val="17425F5A"/>
    <w:rsid w:val="1A0F6516"/>
    <w:rsid w:val="280478D6"/>
    <w:rsid w:val="30C23E8A"/>
    <w:rsid w:val="34246D4D"/>
    <w:rsid w:val="35FC1BEC"/>
    <w:rsid w:val="3738688E"/>
    <w:rsid w:val="3F381EE7"/>
    <w:rsid w:val="3FF322B2"/>
    <w:rsid w:val="44763C20"/>
    <w:rsid w:val="44AE67A8"/>
    <w:rsid w:val="4B814C16"/>
    <w:rsid w:val="4F4E4E0F"/>
    <w:rsid w:val="4F8847C5"/>
    <w:rsid w:val="528F17AD"/>
    <w:rsid w:val="53095C1D"/>
    <w:rsid w:val="556709D9"/>
    <w:rsid w:val="5B21162A"/>
    <w:rsid w:val="5E2D36D2"/>
    <w:rsid w:val="5FCC6738"/>
    <w:rsid w:val="613B771F"/>
    <w:rsid w:val="6370095A"/>
    <w:rsid w:val="63AC2B09"/>
    <w:rsid w:val="6614574E"/>
    <w:rsid w:val="695232F6"/>
    <w:rsid w:val="6A667059"/>
    <w:rsid w:val="6B1116BB"/>
    <w:rsid w:val="6D4F2026"/>
    <w:rsid w:val="6EA463A2"/>
    <w:rsid w:val="70B24B1D"/>
    <w:rsid w:val="7242215A"/>
    <w:rsid w:val="765E152C"/>
    <w:rsid w:val="7857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3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3"/>
    <w:qFormat/>
    <w:uiPriority w:val="0"/>
    <w:pPr>
      <w:spacing w:before="240" w:after="60"/>
      <w:ind w:left="640" w:leftChars="200"/>
      <w:outlineLvl w:val="0"/>
    </w:pPr>
    <w:rPr>
      <w:rFonts w:ascii="Arial" w:hAnsi="Arial" w:eastAsia="仿宋_GB2312" w:cs="Times New Roman"/>
      <w:b/>
      <w:sz w:val="32"/>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Hyperlink"/>
    <w:basedOn w:val="10"/>
    <w:qFormat/>
    <w:uiPriority w:val="0"/>
    <w:rPr>
      <w:color w:val="0000FF"/>
      <w:u w:val="single"/>
    </w:rPr>
  </w:style>
  <w:style w:type="paragraph" w:customStyle="1" w:styleId="13">
    <w:name w:val="大标题"/>
    <w:basedOn w:val="1"/>
    <w:next w:val="14"/>
    <w:qFormat/>
    <w:uiPriority w:val="99"/>
    <w:pPr>
      <w:spacing w:line="580" w:lineRule="exact"/>
      <w:jc w:val="center"/>
      <w:outlineLvl w:val="0"/>
    </w:pPr>
    <w:rPr>
      <w:rFonts w:ascii="Times New Roman" w:hAnsi="Times New Roman" w:eastAsia="方正小标宋简体"/>
      <w:sz w:val="44"/>
      <w:szCs w:val="24"/>
    </w:rPr>
  </w:style>
  <w:style w:type="paragraph" w:customStyle="1" w:styleId="14">
    <w:name w:val="标题注释"/>
    <w:basedOn w:val="1"/>
    <w:next w:val="1"/>
    <w:qFormat/>
    <w:uiPriority w:val="99"/>
    <w:pPr>
      <w:spacing w:line="580" w:lineRule="exact"/>
      <w:jc w:val="center"/>
      <w:outlineLvl w:val="1"/>
    </w:pPr>
    <w:rPr>
      <w:rFonts w:ascii="Times New Roman" w:hAnsi="Times New Roman" w:eastAsia="楷体_GB2312"/>
      <w:sz w:val="32"/>
      <w:szCs w:val="24"/>
    </w:rPr>
  </w:style>
  <w:style w:type="paragraph" w:customStyle="1" w:styleId="15">
    <w:name w:val="公文主体"/>
    <w:basedOn w:val="1"/>
    <w:qFormat/>
    <w:uiPriority w:val="99"/>
    <w:pPr>
      <w:spacing w:line="580" w:lineRule="exact"/>
      <w:ind w:firstLine="200" w:firstLineChars="200"/>
    </w:pPr>
    <w:rPr>
      <w:rFonts w:ascii="Times New Roman" w:hAnsi="Times New Roman" w:eastAsia="仿宋_GB2312"/>
      <w:kern w:val="0"/>
      <w:sz w:val="32"/>
      <w:szCs w:val="24"/>
    </w:rPr>
  </w:style>
  <w:style w:type="paragraph" w:customStyle="1" w:styleId="16">
    <w:name w:val="一级标题"/>
    <w:basedOn w:val="15"/>
    <w:next w:val="15"/>
    <w:qFormat/>
    <w:uiPriority w:val="99"/>
    <w:pPr>
      <w:outlineLvl w:val="2"/>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2022-03-18T01:05:00Z</dcterms:created>
  <dc:creator>A妞妞</dc:creator>
  <cp:lastModifiedBy>森林里没有木</cp:lastModifiedBy>
  <cp:lastPrinted>2022-03-18T02:42:00Z</cp:lastPrinted>
  <dcterms:modified xsi:type="dcterms:W3CDTF">2022-03-23T03:32:26Z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D15AD6B6ECF54797A8CBD49F3F12D4FD</vt:lpwstr>
  </property>
</Properties>
</file>