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2B2E3">
      <w:pPr>
        <w:spacing w:line="600" w:lineRule="exact"/>
        <w:rPr>
          <w:rFonts w:ascii="黑体" w:hAnsi="黑体" w:eastAsia="黑体" w:cs="黑体"/>
          <w:sz w:val="32"/>
          <w:szCs w:val="32"/>
        </w:rPr>
      </w:pPr>
      <w:r>
        <w:rPr>
          <w:rFonts w:hint="eastAsia" w:ascii="黑体" w:hAnsi="黑体" w:eastAsia="黑体" w:cs="黑体"/>
          <w:sz w:val="32"/>
          <w:szCs w:val="32"/>
        </w:rPr>
        <w:t>附件1</w:t>
      </w:r>
    </w:p>
    <w:p w14:paraId="26A84112">
      <w:pPr>
        <w:spacing w:line="600" w:lineRule="exact"/>
        <w:jc w:val="center"/>
        <w:rPr>
          <w:rFonts w:ascii="方正小标宋简体" w:hAnsi="方正小标宋简体" w:eastAsia="方正小标宋简体" w:cs="方正小标宋简体"/>
          <w:kern w:val="0"/>
          <w:sz w:val="44"/>
          <w:szCs w:val="44"/>
        </w:rPr>
      </w:pPr>
    </w:p>
    <w:p w14:paraId="5948017E">
      <w:pPr>
        <w:spacing w:line="600" w:lineRule="exact"/>
        <w:jc w:val="center"/>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rPr>
        <w:t>2024年度</w:t>
      </w:r>
      <w:r>
        <w:rPr>
          <w:rFonts w:hint="eastAsia" w:ascii="方正小标宋简体" w:hAnsi="方正小标宋简体" w:eastAsia="方正小标宋简体" w:cs="方正小标宋简体"/>
          <w:b w:val="0"/>
          <w:bCs w:val="0"/>
          <w:i w:val="0"/>
          <w:iCs w:val="0"/>
          <w:caps w:val="0"/>
          <w:color w:val="000000"/>
          <w:spacing w:val="0"/>
          <w:sz w:val="44"/>
          <w:szCs w:val="44"/>
          <w:vertAlign w:val="baseline"/>
          <w:lang w:val="en-US" w:eastAsia="zh-CN"/>
        </w:rPr>
        <w:t>第二批</w:t>
      </w:r>
      <w:r>
        <w:rPr>
          <w:rFonts w:hint="eastAsia" w:ascii="方正小标宋简体" w:hAnsi="方正小标宋简体" w:eastAsia="方正小标宋简体" w:cs="方正小标宋简体"/>
          <w:kern w:val="0"/>
          <w:sz w:val="44"/>
          <w:szCs w:val="44"/>
          <w:lang w:val="en-US" w:eastAsia="zh-CN"/>
        </w:rPr>
        <w:t>社会发展领域重点研发</w:t>
      </w:r>
    </w:p>
    <w:p w14:paraId="4B6E0CAC">
      <w:pPr>
        <w:spacing w:line="600" w:lineRule="exact"/>
        <w:jc w:val="center"/>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科技计划项目申报指南</w:t>
      </w:r>
    </w:p>
    <w:p w14:paraId="1530B10B">
      <w:pPr>
        <w:spacing w:line="600" w:lineRule="exact"/>
        <w:rPr>
          <w:rFonts w:ascii="仿宋" w:hAnsi="仿宋" w:eastAsia="仿宋" w:cs="Times New Roman"/>
          <w:sz w:val="32"/>
          <w:szCs w:val="32"/>
        </w:rPr>
      </w:pPr>
    </w:p>
    <w:p w14:paraId="559DBB31">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lang w:val="en-US" w:eastAsia="zh-CN"/>
        </w:rPr>
        <w:t>一</w:t>
      </w:r>
      <w:r>
        <w:rPr>
          <w:rFonts w:hint="eastAsia" w:ascii="黑体" w:hAnsi="黑体" w:eastAsia="黑体" w:cs="Times New Roman"/>
          <w:sz w:val="32"/>
          <w:szCs w:val="32"/>
        </w:rPr>
        <w:t xml:space="preserve">、医疗健康 </w:t>
      </w:r>
    </w:p>
    <w:p w14:paraId="2B8345E7">
      <w:pPr>
        <w:spacing w:line="600" w:lineRule="exact"/>
        <w:ind w:firstLine="643" w:firstLineChars="200"/>
        <w:rPr>
          <w:rFonts w:ascii="楷体" w:hAnsi="楷体" w:eastAsia="楷体" w:cs="Times New Roman"/>
          <w:b/>
          <w:sz w:val="32"/>
          <w:szCs w:val="32"/>
        </w:rPr>
      </w:pPr>
      <w:bookmarkStart w:id="0" w:name="_Toc56612964"/>
      <w:r>
        <w:rPr>
          <w:rFonts w:hint="eastAsia" w:ascii="楷体" w:hAnsi="楷体" w:eastAsia="楷体" w:cs="Times New Roman"/>
          <w:b/>
          <w:sz w:val="32"/>
          <w:szCs w:val="32"/>
        </w:rPr>
        <w:t>（一）疾病防治</w:t>
      </w:r>
      <w:bookmarkStart w:id="1" w:name="_GoBack"/>
      <w:bookmarkEnd w:id="1"/>
    </w:p>
    <w:p w14:paraId="075F0F8B">
      <w:pPr>
        <w:spacing w:line="600" w:lineRule="exact"/>
        <w:ind w:firstLine="643"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Calibri" w:eastAsia="仿宋_GB2312" w:cs="Times New Roman"/>
          <w:b/>
          <w:bCs/>
          <w:sz w:val="32"/>
          <w:szCs w:val="32"/>
        </w:rPr>
        <w:t>研究方向（指南代码70</w:t>
      </w:r>
      <w:r>
        <w:rPr>
          <w:rFonts w:hint="eastAsia" w:ascii="仿宋_GB2312" w:hAnsi="Calibri" w:eastAsia="仿宋_GB2312" w:cs="Times New Roman"/>
          <w:b/>
          <w:bCs/>
          <w:sz w:val="32"/>
          <w:szCs w:val="32"/>
          <w:lang w:val="en-US" w:eastAsia="zh-CN"/>
        </w:rPr>
        <w:t>6</w:t>
      </w:r>
      <w:r>
        <w:rPr>
          <w:rFonts w:hint="eastAsia" w:ascii="仿宋_GB2312" w:hAnsi="Calibri" w:eastAsia="仿宋_GB2312" w:cs="Times New Roman"/>
          <w:b/>
          <w:bCs/>
          <w:sz w:val="32"/>
          <w:szCs w:val="32"/>
        </w:rPr>
        <w:t>）：</w:t>
      </w:r>
      <w:r>
        <w:rPr>
          <w:rFonts w:hint="eastAsia" w:ascii="仿宋_GB2312" w:hAnsi="仿宋_GB2312" w:eastAsia="仿宋_GB2312" w:cs="仿宋_GB2312"/>
          <w:color w:val="000000"/>
          <w:kern w:val="0"/>
          <w:sz w:val="32"/>
          <w:szCs w:val="32"/>
          <w:lang w:val="en-US" w:eastAsia="zh-CN" w:bidi="ar-SA"/>
        </w:rPr>
        <w:t>肿瘤心脏病靶向治疗基础及临床应用研究。</w:t>
      </w:r>
    </w:p>
    <w:p w14:paraId="683C8194">
      <w:pPr>
        <w:spacing w:line="600" w:lineRule="exact"/>
        <w:ind w:firstLine="643"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Calibri" w:eastAsia="仿宋_GB2312" w:cs="Times New Roman"/>
          <w:b/>
          <w:bCs/>
          <w:sz w:val="32"/>
          <w:szCs w:val="32"/>
        </w:rPr>
        <w:t>研究方向（指南代码70</w:t>
      </w:r>
      <w:r>
        <w:rPr>
          <w:rFonts w:hint="eastAsia" w:ascii="仿宋_GB2312" w:hAnsi="Calibri" w:eastAsia="仿宋_GB2312" w:cs="Times New Roman"/>
          <w:b/>
          <w:bCs/>
          <w:sz w:val="32"/>
          <w:szCs w:val="32"/>
          <w:lang w:val="en-US" w:eastAsia="zh-CN"/>
        </w:rPr>
        <w:t>7</w:t>
      </w:r>
      <w:r>
        <w:rPr>
          <w:rFonts w:hint="eastAsia" w:ascii="仿宋_GB2312" w:hAnsi="Calibri" w:eastAsia="仿宋_GB2312" w:cs="Times New Roman"/>
          <w:b/>
          <w:bCs/>
          <w:sz w:val="32"/>
          <w:szCs w:val="32"/>
        </w:rPr>
        <w:t>）：</w:t>
      </w:r>
      <w:r>
        <w:rPr>
          <w:rFonts w:hint="eastAsia" w:ascii="仿宋_GB2312" w:hAnsi="仿宋_GB2312" w:eastAsia="仿宋_GB2312" w:cs="仿宋_GB2312"/>
          <w:color w:val="000000"/>
          <w:kern w:val="0"/>
          <w:sz w:val="32"/>
          <w:szCs w:val="32"/>
          <w:lang w:val="en-US" w:eastAsia="zh-CN" w:bidi="ar-SA"/>
        </w:rPr>
        <w:t>影像技术与重大疾病诊断临床应用研究。</w:t>
      </w:r>
    </w:p>
    <w:p w14:paraId="2859E329">
      <w:pPr>
        <w:spacing w:line="600" w:lineRule="exact"/>
        <w:ind w:firstLine="643"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Calibri" w:eastAsia="仿宋_GB2312" w:cs="Times New Roman"/>
          <w:b/>
          <w:bCs/>
          <w:sz w:val="32"/>
          <w:szCs w:val="32"/>
        </w:rPr>
        <w:t>研究方向（指南代码70</w:t>
      </w:r>
      <w:r>
        <w:rPr>
          <w:rFonts w:hint="eastAsia" w:ascii="仿宋_GB2312" w:hAnsi="Calibri" w:eastAsia="仿宋_GB2312" w:cs="Times New Roman"/>
          <w:b/>
          <w:bCs/>
          <w:sz w:val="32"/>
          <w:szCs w:val="32"/>
          <w:lang w:val="en-US" w:eastAsia="zh-CN"/>
        </w:rPr>
        <w:t>8</w:t>
      </w:r>
      <w:r>
        <w:rPr>
          <w:rFonts w:hint="eastAsia" w:ascii="仿宋_GB2312" w:hAnsi="Calibri" w:eastAsia="仿宋_GB2312" w:cs="Times New Roman"/>
          <w:b/>
          <w:bCs/>
          <w:sz w:val="32"/>
          <w:szCs w:val="32"/>
        </w:rPr>
        <w:t>）</w:t>
      </w:r>
      <w:r>
        <w:rPr>
          <w:rFonts w:hint="eastAsia" w:ascii="仿宋_GB2312" w:hAnsi="Calibri" w:eastAsia="仿宋_GB2312" w:cs="Times New Roman"/>
          <w:b/>
          <w:bCs/>
          <w:sz w:val="32"/>
          <w:szCs w:val="32"/>
          <w:lang w:eastAsia="zh-CN"/>
        </w:rPr>
        <w:t>：</w:t>
      </w:r>
      <w:r>
        <w:rPr>
          <w:rFonts w:hint="eastAsia" w:ascii="仿宋_GB2312" w:hAnsi="仿宋_GB2312" w:eastAsia="仿宋_GB2312" w:cs="仿宋_GB2312"/>
          <w:color w:val="000000"/>
          <w:kern w:val="0"/>
          <w:sz w:val="32"/>
          <w:szCs w:val="32"/>
          <w:lang w:val="en-US" w:eastAsia="zh-CN" w:bidi="ar-SA"/>
        </w:rPr>
        <w:t>烧伤感染临床及预后应用研究。</w:t>
      </w:r>
    </w:p>
    <w:p w14:paraId="5DF42703">
      <w:pPr>
        <w:widowControl/>
        <w:spacing w:before="0" w:beforeAutospacing="0" w:after="0" w:afterAutospacing="0" w:line="600" w:lineRule="exact"/>
        <w:ind w:firstLine="643"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Calibri" w:eastAsia="仿宋_GB2312" w:cs="Times New Roman"/>
          <w:b/>
          <w:bCs/>
          <w:kern w:val="2"/>
          <w:sz w:val="32"/>
          <w:szCs w:val="32"/>
          <w:lang w:val="en-US" w:eastAsia="zh-CN" w:bidi="ar-SA"/>
        </w:rPr>
        <w:t>研究方向（指南代码709）：</w:t>
      </w:r>
      <w:r>
        <w:rPr>
          <w:rFonts w:hint="eastAsia" w:ascii="仿宋_GB2312" w:hAnsi="仿宋_GB2312" w:eastAsia="仿宋_GB2312" w:cs="仿宋_GB2312"/>
          <w:color w:val="000000"/>
          <w:kern w:val="0"/>
          <w:sz w:val="32"/>
          <w:szCs w:val="32"/>
          <w:lang w:val="en-US" w:eastAsia="zh-CN" w:bidi="ar-SA"/>
        </w:rPr>
        <w:t>内分泌及免疫性疾病综合防治应用研究。</w:t>
      </w:r>
    </w:p>
    <w:p w14:paraId="702D035A">
      <w:pPr>
        <w:widowControl/>
        <w:spacing w:before="0" w:beforeAutospacing="0" w:after="0" w:afterAutospacing="0" w:line="600" w:lineRule="exact"/>
        <w:ind w:firstLine="643" w:firstLineChars="200"/>
        <w:jc w:val="left"/>
        <w:rPr>
          <w:rFonts w:hint="default" w:ascii="仿宋_GB2312" w:hAnsi="仿宋_GB2312" w:eastAsia="仿宋_GB2312" w:cs="仿宋_GB2312"/>
          <w:color w:val="000000"/>
          <w:kern w:val="0"/>
          <w:sz w:val="32"/>
          <w:szCs w:val="32"/>
          <w:lang w:val="en-US" w:eastAsia="zh-CN" w:bidi="ar-SA"/>
        </w:rPr>
      </w:pPr>
      <w:r>
        <w:rPr>
          <w:rFonts w:hint="eastAsia" w:ascii="仿宋_GB2312" w:hAnsi="Calibri" w:eastAsia="仿宋_GB2312" w:cs="Times New Roman"/>
          <w:b/>
          <w:bCs/>
          <w:kern w:val="2"/>
          <w:sz w:val="32"/>
          <w:szCs w:val="32"/>
          <w:lang w:val="en-US" w:eastAsia="zh-CN" w:bidi="ar-SA"/>
        </w:rPr>
        <w:t>研究方向（指南代码710）：</w:t>
      </w:r>
      <w:r>
        <w:rPr>
          <w:rFonts w:hint="eastAsia" w:ascii="仿宋_GB2312" w:hAnsi="仿宋_GB2312" w:eastAsia="仿宋_GB2312" w:cs="仿宋_GB2312"/>
          <w:color w:val="000000"/>
          <w:kern w:val="0"/>
          <w:sz w:val="32"/>
          <w:szCs w:val="32"/>
          <w:lang w:val="en-US" w:eastAsia="zh-CN" w:bidi="ar-SA"/>
        </w:rPr>
        <w:t>生育健康与遗传疾病临床应用研究。</w:t>
      </w:r>
    </w:p>
    <w:p w14:paraId="2FCA778F">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000000"/>
          <w:kern w:val="0"/>
          <w:sz w:val="32"/>
          <w:szCs w:val="32"/>
          <w:lang w:val="en-US" w:eastAsia="zh-CN" w:bidi="ar-SA"/>
        </w:rPr>
      </w:pPr>
      <w:r>
        <w:rPr>
          <w:rFonts w:hint="eastAsia" w:ascii="仿宋_GB2312" w:hAnsi="Calibri" w:eastAsia="仿宋_GB2312" w:cs="Times New Roman"/>
          <w:b/>
          <w:bCs/>
          <w:sz w:val="32"/>
          <w:szCs w:val="32"/>
        </w:rPr>
        <w:t>研究方向（指南代码7</w:t>
      </w:r>
      <w:r>
        <w:rPr>
          <w:rFonts w:hint="eastAsia" w:ascii="仿宋_GB2312" w:hAnsi="Calibri" w:eastAsia="仿宋_GB2312" w:cs="Times New Roman"/>
          <w:b/>
          <w:bCs/>
          <w:sz w:val="32"/>
          <w:szCs w:val="32"/>
          <w:lang w:val="en-US" w:eastAsia="zh-CN"/>
        </w:rPr>
        <w:t>11</w:t>
      </w:r>
      <w:r>
        <w:rPr>
          <w:rFonts w:hint="eastAsia" w:ascii="仿宋_GB2312" w:hAnsi="Calibri" w:eastAsia="仿宋_GB2312" w:cs="Times New Roman"/>
          <w:b/>
          <w:bCs/>
          <w:sz w:val="32"/>
          <w:szCs w:val="32"/>
        </w:rPr>
        <w:t>）：</w:t>
      </w:r>
      <w:r>
        <w:rPr>
          <w:rFonts w:hint="eastAsia" w:ascii="仿宋_GB2312" w:hAnsi="仿宋_GB2312" w:eastAsia="仿宋_GB2312" w:cs="仿宋_GB2312"/>
          <w:color w:val="000000"/>
          <w:kern w:val="0"/>
          <w:sz w:val="32"/>
          <w:szCs w:val="32"/>
          <w:lang w:val="en-US" w:eastAsia="zh-CN" w:bidi="ar-SA"/>
        </w:rPr>
        <w:t>特殊人群心理健康及精神疾病应用研究。</w:t>
      </w:r>
    </w:p>
    <w:p w14:paraId="297BB046">
      <w:pPr>
        <w:spacing w:line="600" w:lineRule="exact"/>
        <w:ind w:firstLine="643" w:firstLineChars="200"/>
        <w:rPr>
          <w:rFonts w:hint="eastAsia" w:ascii="楷体" w:hAnsi="楷体" w:eastAsia="楷体" w:cs="Times New Roman"/>
          <w:b/>
          <w:sz w:val="32"/>
          <w:szCs w:val="32"/>
          <w:lang w:val="en-US" w:eastAsia="zh-CN"/>
        </w:rPr>
      </w:pPr>
      <w:r>
        <w:rPr>
          <w:rFonts w:hint="eastAsia" w:ascii="楷体" w:hAnsi="楷体" w:eastAsia="楷体" w:cs="Times New Roman"/>
          <w:b/>
          <w:sz w:val="32"/>
          <w:szCs w:val="32"/>
        </w:rPr>
        <w:t>（二）中蒙</w:t>
      </w:r>
      <w:r>
        <w:rPr>
          <w:rFonts w:hint="eastAsia" w:ascii="楷体" w:hAnsi="楷体" w:eastAsia="楷体" w:cs="Times New Roman"/>
          <w:b/>
          <w:sz w:val="32"/>
          <w:szCs w:val="32"/>
          <w:lang w:val="en-US" w:eastAsia="zh-CN"/>
        </w:rPr>
        <w:t>医</w:t>
      </w:r>
    </w:p>
    <w:p w14:paraId="3DE7DA81">
      <w:pPr>
        <w:spacing w:line="600" w:lineRule="exact"/>
        <w:ind w:firstLine="643"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Calibri" w:eastAsia="仿宋_GB2312" w:cs="Times New Roman"/>
          <w:b/>
          <w:bCs/>
          <w:sz w:val="32"/>
          <w:szCs w:val="32"/>
        </w:rPr>
        <w:t>研究方向（指南代码7</w:t>
      </w:r>
      <w:r>
        <w:rPr>
          <w:rFonts w:hint="eastAsia" w:ascii="仿宋_GB2312" w:hAnsi="Calibri" w:eastAsia="仿宋_GB2312" w:cs="Times New Roman"/>
          <w:b/>
          <w:bCs/>
          <w:sz w:val="32"/>
          <w:szCs w:val="32"/>
          <w:lang w:val="en-US" w:eastAsia="zh-CN"/>
        </w:rPr>
        <w:t>12</w:t>
      </w:r>
      <w:r>
        <w:rPr>
          <w:rFonts w:hint="eastAsia" w:ascii="仿宋_GB2312" w:hAnsi="Calibri" w:eastAsia="仿宋_GB2312" w:cs="Times New Roman"/>
          <w:b/>
          <w:bCs/>
          <w:sz w:val="32"/>
          <w:szCs w:val="32"/>
        </w:rPr>
        <w:t>）：</w:t>
      </w:r>
      <w:r>
        <w:rPr>
          <w:rFonts w:hint="eastAsia" w:ascii="仿宋_GB2312" w:hAnsi="仿宋_GB2312" w:eastAsia="仿宋_GB2312" w:cs="仿宋_GB2312"/>
          <w:color w:val="000000"/>
          <w:kern w:val="0"/>
          <w:sz w:val="32"/>
          <w:szCs w:val="32"/>
          <w:lang w:val="en-US" w:eastAsia="zh-CN" w:bidi="ar-SA"/>
        </w:rPr>
        <w:t>中蒙医对耳鼻喉过敏性防治临床与应用研究。</w:t>
      </w:r>
    </w:p>
    <w:p w14:paraId="7F9CC217">
      <w:pPr>
        <w:keepNext/>
        <w:keepLines/>
        <w:widowControl w:val="0"/>
        <w:spacing w:before="260" w:after="260" w:line="416" w:lineRule="auto"/>
        <w:ind w:firstLine="643" w:firstLineChars="200"/>
        <w:jc w:val="both"/>
        <w:outlineLvl w:val="1"/>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Calibri" w:eastAsia="仿宋_GB2312" w:cs="Times New Roman"/>
          <w:b/>
          <w:bCs/>
          <w:kern w:val="2"/>
          <w:sz w:val="32"/>
          <w:szCs w:val="32"/>
          <w:lang w:val="en-US" w:eastAsia="zh-CN" w:bidi="ar-SA"/>
        </w:rPr>
        <w:t>研究方向（指南代码713）：</w:t>
      </w:r>
      <w:r>
        <w:rPr>
          <w:rFonts w:hint="eastAsia" w:ascii="仿宋_GB2312" w:hAnsi="仿宋_GB2312" w:eastAsia="仿宋_GB2312" w:cs="仿宋_GB2312"/>
          <w:b w:val="0"/>
          <w:bCs w:val="0"/>
          <w:color w:val="000000"/>
          <w:kern w:val="0"/>
          <w:sz w:val="32"/>
          <w:szCs w:val="32"/>
          <w:lang w:val="en-US" w:eastAsia="zh-CN" w:bidi="ar-SA"/>
        </w:rPr>
        <w:t>中蒙药特色诊疗技术临床应用研究。</w:t>
      </w:r>
    </w:p>
    <w:p w14:paraId="6AD3CB59">
      <w:pPr>
        <w:numPr>
          <w:ilvl w:val="0"/>
          <w:numId w:val="0"/>
        </w:numPr>
        <w:spacing w:line="600" w:lineRule="exact"/>
        <w:ind w:firstLine="643" w:firstLineChars="200"/>
        <w:rPr>
          <w:rFonts w:hint="eastAsia" w:ascii="仿宋_GB2312" w:hAnsi="宋体" w:eastAsia="仿宋_GB2312" w:cs="宋体"/>
          <w:b/>
          <w:kern w:val="0"/>
          <w:sz w:val="32"/>
          <w:szCs w:val="32"/>
        </w:rPr>
      </w:pPr>
      <w:r>
        <w:rPr>
          <w:rFonts w:hint="eastAsia" w:ascii="楷体" w:hAnsi="楷体" w:eastAsia="楷体" w:cs="Times New Roman"/>
          <w:b/>
          <w:sz w:val="32"/>
          <w:szCs w:val="32"/>
          <w:lang w:eastAsia="zh-CN"/>
        </w:rPr>
        <w:t>（</w:t>
      </w:r>
      <w:r>
        <w:rPr>
          <w:rFonts w:hint="eastAsia" w:ascii="楷体" w:hAnsi="楷体" w:eastAsia="楷体" w:cs="Times New Roman"/>
          <w:b/>
          <w:sz w:val="32"/>
          <w:szCs w:val="32"/>
          <w:lang w:val="en-US" w:eastAsia="zh-CN"/>
        </w:rPr>
        <w:t>三</w:t>
      </w:r>
      <w:r>
        <w:rPr>
          <w:rFonts w:hint="eastAsia" w:ascii="楷体" w:hAnsi="楷体" w:eastAsia="楷体" w:cs="Times New Roman"/>
          <w:b/>
          <w:sz w:val="32"/>
          <w:szCs w:val="32"/>
          <w:lang w:eastAsia="zh-CN"/>
        </w:rPr>
        <w:t>）</w:t>
      </w:r>
      <w:r>
        <w:rPr>
          <w:rFonts w:hint="eastAsia" w:ascii="楷体" w:hAnsi="楷体" w:eastAsia="楷体" w:cs="Times New Roman"/>
          <w:b/>
          <w:sz w:val="32"/>
          <w:szCs w:val="32"/>
        </w:rPr>
        <w:t>支持额度</w:t>
      </w:r>
    </w:p>
    <w:p w14:paraId="668CD7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jc w:val="both"/>
        <w:textAlignment w:val="baseline"/>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每个项目财政拟支持额度不超过50万元。</w:t>
      </w:r>
    </w:p>
    <w:p w14:paraId="2010E4C8">
      <w:pPr>
        <w:numPr>
          <w:ilvl w:val="0"/>
          <w:numId w:val="0"/>
        </w:numPr>
        <w:spacing w:line="600" w:lineRule="exact"/>
        <w:ind w:leftChars="200" w:firstLine="321" w:firstLineChars="100"/>
        <w:rPr>
          <w:rFonts w:hint="eastAsia" w:ascii="仿宋" w:hAnsi="仿宋" w:eastAsia="仿宋" w:cs="Times New Roman"/>
          <w:b/>
          <w:sz w:val="32"/>
          <w:szCs w:val="32"/>
        </w:rPr>
      </w:pPr>
      <w:r>
        <w:rPr>
          <w:rFonts w:hint="eastAsia" w:ascii="仿宋" w:hAnsi="仿宋" w:eastAsia="仿宋" w:cs="Times New Roman"/>
          <w:b/>
          <w:sz w:val="32"/>
          <w:szCs w:val="32"/>
          <w:lang w:eastAsia="zh-CN"/>
        </w:rPr>
        <w:t>（</w:t>
      </w:r>
      <w:r>
        <w:rPr>
          <w:rFonts w:hint="eastAsia" w:ascii="仿宋" w:hAnsi="仿宋" w:eastAsia="仿宋" w:cs="Times New Roman"/>
          <w:b/>
          <w:sz w:val="32"/>
          <w:szCs w:val="32"/>
          <w:lang w:val="en-US" w:eastAsia="zh-CN"/>
        </w:rPr>
        <w:t>四</w:t>
      </w:r>
      <w:r>
        <w:rPr>
          <w:rFonts w:hint="eastAsia" w:ascii="仿宋" w:hAnsi="仿宋" w:eastAsia="仿宋" w:cs="Times New Roman"/>
          <w:b/>
          <w:sz w:val="32"/>
          <w:szCs w:val="32"/>
          <w:lang w:eastAsia="zh-CN"/>
        </w:rPr>
        <w:t>）</w:t>
      </w:r>
      <w:r>
        <w:rPr>
          <w:rFonts w:hint="eastAsia" w:ascii="仿宋" w:hAnsi="仿宋" w:eastAsia="仿宋" w:cs="Times New Roman"/>
          <w:b/>
          <w:sz w:val="32"/>
          <w:szCs w:val="32"/>
        </w:rPr>
        <w:t>考核要求</w:t>
      </w:r>
    </w:p>
    <w:p w14:paraId="7586F4BD">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项目执行期不超过2年。项目完成时研发新技术、新诊疗方案、临床指南/规范等不少于1项或开发医疗新产品不少于1种，并转化应用；授权Ⅰ类知识产权不少于1项，或Ⅱ类知识产权不少于5项；培养中级及以上专业技术（或硕士及以上）人才不少于5名。</w:t>
      </w:r>
    </w:p>
    <w:p w14:paraId="5F0EDC64">
      <w:pPr>
        <w:spacing w:line="600" w:lineRule="exact"/>
        <w:ind w:firstLine="640" w:firstLineChars="200"/>
        <w:rPr>
          <w:rFonts w:hint="eastAsia" w:ascii="仿宋" w:hAnsi="仿宋" w:eastAsia="仿宋" w:cs="Times New Roman"/>
          <w:b w:val="0"/>
          <w:bCs w:val="0"/>
          <w:kern w:val="2"/>
          <w:sz w:val="32"/>
          <w:szCs w:val="32"/>
          <w:highlight w:val="red"/>
          <w:lang w:val="en-US" w:eastAsia="zh-CN" w:bidi="ar-SA"/>
        </w:rPr>
      </w:pPr>
      <w:r>
        <w:rPr>
          <w:rFonts w:hint="eastAsia" w:ascii="黑体" w:hAnsi="黑体" w:eastAsia="黑体" w:cs="Times New Roman"/>
          <w:sz w:val="32"/>
          <w:szCs w:val="32"/>
          <w:lang w:val="en-US" w:eastAsia="zh-CN"/>
        </w:rPr>
        <w:t>二</w:t>
      </w:r>
      <w:r>
        <w:rPr>
          <w:rFonts w:hint="eastAsia" w:ascii="黑体" w:hAnsi="黑体" w:eastAsia="黑体" w:cs="Times New Roman"/>
          <w:sz w:val="32"/>
          <w:szCs w:val="32"/>
        </w:rPr>
        <w:t>、生态</w:t>
      </w:r>
      <w:r>
        <w:rPr>
          <w:rFonts w:hint="eastAsia" w:ascii="黑体" w:hAnsi="黑体" w:eastAsia="黑体" w:cs="Times New Roman"/>
          <w:sz w:val="32"/>
          <w:szCs w:val="32"/>
          <w:lang w:val="en-US" w:eastAsia="zh-CN"/>
        </w:rPr>
        <w:t>环境</w:t>
      </w:r>
    </w:p>
    <w:p w14:paraId="4978D28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3" w:firstLineChars="200"/>
        <w:jc w:val="both"/>
        <w:textAlignment w:val="baseline"/>
        <w:rPr>
          <w:rFonts w:hint="eastAsia" w:ascii="仿宋_GB2312" w:hAnsi="仿宋_GB2312" w:eastAsia="仿宋_GB2312" w:cs="仿宋_GB2312"/>
          <w:color w:val="000000"/>
          <w:kern w:val="0"/>
          <w:sz w:val="30"/>
          <w:szCs w:val="30"/>
          <w:lang w:val="en-US" w:eastAsia="zh-CN" w:bidi="ar-SA"/>
        </w:rPr>
      </w:pPr>
      <w:r>
        <w:rPr>
          <w:rFonts w:hint="eastAsia" w:ascii="仿宋_GB2312" w:hAnsi="宋体" w:eastAsia="仿宋_GB2312" w:cs="宋体"/>
          <w:b/>
          <w:bCs/>
          <w:kern w:val="0"/>
          <w:sz w:val="32"/>
          <w:szCs w:val="32"/>
          <w:lang w:val="en-US" w:eastAsia="zh-CN" w:bidi="ar-SA"/>
        </w:rPr>
        <w:t>研究方向（指南代码</w:t>
      </w:r>
      <w:r>
        <w:rPr>
          <w:rFonts w:hint="eastAsia" w:ascii="仿宋_GB2312" w:hAnsi="宋体" w:eastAsia="仿宋_GB2312" w:cs="宋体"/>
          <w:b/>
          <w:bCs/>
          <w:kern w:val="0"/>
          <w:sz w:val="30"/>
          <w:szCs w:val="30"/>
          <w:lang w:val="en-US" w:eastAsia="zh-CN" w:bidi="ar-SA"/>
        </w:rPr>
        <w:t>804）：</w:t>
      </w:r>
      <w:r>
        <w:rPr>
          <w:rFonts w:hint="eastAsia" w:ascii="仿宋_GB2312" w:hAnsi="仿宋_GB2312" w:eastAsia="仿宋_GB2312" w:cs="仿宋_GB2312"/>
          <w:color w:val="000000"/>
          <w:kern w:val="0"/>
          <w:sz w:val="30"/>
          <w:szCs w:val="30"/>
          <w:lang w:val="en-US" w:eastAsia="zh-CN" w:bidi="ar-SA"/>
        </w:rPr>
        <w:t>矿区、湿地、生态脆弱区生态环境修复及生态安全提升技术研究。</w:t>
      </w:r>
    </w:p>
    <w:p w14:paraId="65ACCCDB">
      <w:pPr>
        <w:spacing w:line="600" w:lineRule="exact"/>
        <w:ind w:firstLine="602" w:firstLineChars="200"/>
        <w:rPr>
          <w:rFonts w:hint="eastAsia" w:ascii="仿宋_GB2312" w:hAnsi="仿宋_GB2312" w:eastAsia="仿宋_GB2312" w:cs="仿宋_GB2312"/>
          <w:color w:val="000000"/>
          <w:kern w:val="0"/>
          <w:sz w:val="30"/>
          <w:szCs w:val="30"/>
          <w:lang w:val="en-US" w:eastAsia="zh-CN" w:bidi="ar-SA"/>
        </w:rPr>
      </w:pPr>
      <w:r>
        <w:rPr>
          <w:rFonts w:hint="eastAsia" w:ascii="仿宋_GB2312" w:hAnsi="Calibri" w:eastAsia="仿宋_GB2312" w:cs="Times New Roman"/>
          <w:b/>
          <w:bCs/>
          <w:sz w:val="30"/>
          <w:szCs w:val="30"/>
        </w:rPr>
        <w:t>研究方向（指南代码80</w:t>
      </w:r>
      <w:r>
        <w:rPr>
          <w:rFonts w:hint="eastAsia" w:ascii="仿宋_GB2312" w:hAnsi="Calibri" w:eastAsia="仿宋_GB2312" w:cs="Times New Roman"/>
          <w:b/>
          <w:bCs/>
          <w:sz w:val="30"/>
          <w:szCs w:val="30"/>
          <w:lang w:val="en-US" w:eastAsia="zh-CN"/>
        </w:rPr>
        <w:t>5</w:t>
      </w:r>
      <w:r>
        <w:rPr>
          <w:rFonts w:hint="eastAsia" w:ascii="仿宋_GB2312" w:hAnsi="Calibri" w:eastAsia="仿宋_GB2312" w:cs="Times New Roman"/>
          <w:b/>
          <w:bCs/>
          <w:sz w:val="30"/>
          <w:szCs w:val="30"/>
        </w:rPr>
        <w:t>）：</w:t>
      </w:r>
      <w:r>
        <w:rPr>
          <w:rFonts w:hint="eastAsia" w:ascii="仿宋_GB2312" w:hAnsi="仿宋_GB2312" w:eastAsia="仿宋_GB2312" w:cs="仿宋_GB2312"/>
          <w:color w:val="000000"/>
          <w:kern w:val="0"/>
          <w:sz w:val="30"/>
          <w:szCs w:val="30"/>
          <w:lang w:val="en-US" w:eastAsia="zh-CN" w:bidi="ar-SA"/>
        </w:rPr>
        <w:t>河湖生态环境风险与水质变化应用研究。</w:t>
      </w:r>
    </w:p>
    <w:p w14:paraId="07585616">
      <w:pPr>
        <w:spacing w:line="600" w:lineRule="exact"/>
        <w:ind w:firstLine="602" w:firstLineChars="200"/>
        <w:rPr>
          <w:rFonts w:hint="eastAsia" w:ascii="仿宋_GB2312" w:hAnsi="仿宋_GB2312" w:eastAsia="仿宋_GB2312" w:cs="仿宋_GB2312"/>
          <w:color w:val="000000"/>
          <w:kern w:val="0"/>
          <w:sz w:val="30"/>
          <w:szCs w:val="30"/>
          <w:lang w:val="en-US" w:eastAsia="zh-CN" w:bidi="ar-SA"/>
        </w:rPr>
      </w:pPr>
      <w:r>
        <w:rPr>
          <w:rFonts w:hint="eastAsia" w:ascii="仿宋_GB2312" w:hAnsi="Calibri" w:eastAsia="仿宋_GB2312" w:cs="Times New Roman"/>
          <w:b/>
          <w:bCs/>
          <w:sz w:val="30"/>
          <w:szCs w:val="30"/>
        </w:rPr>
        <w:t>研究方向（指南代码80</w:t>
      </w:r>
      <w:r>
        <w:rPr>
          <w:rFonts w:hint="eastAsia" w:ascii="仿宋_GB2312" w:hAnsi="Calibri" w:eastAsia="仿宋_GB2312" w:cs="Times New Roman"/>
          <w:b/>
          <w:bCs/>
          <w:sz w:val="30"/>
          <w:szCs w:val="30"/>
          <w:lang w:val="en-US" w:eastAsia="zh-CN"/>
        </w:rPr>
        <w:t>6</w:t>
      </w:r>
      <w:r>
        <w:rPr>
          <w:rFonts w:hint="eastAsia" w:ascii="仿宋_GB2312" w:hAnsi="Calibri" w:eastAsia="仿宋_GB2312" w:cs="Times New Roman"/>
          <w:b/>
          <w:bCs/>
          <w:sz w:val="30"/>
          <w:szCs w:val="30"/>
        </w:rPr>
        <w:t>）：</w:t>
      </w:r>
      <w:bookmarkEnd w:id="0"/>
      <w:r>
        <w:rPr>
          <w:rFonts w:hint="eastAsia" w:ascii="仿宋_GB2312" w:hAnsi="仿宋_GB2312" w:eastAsia="仿宋_GB2312" w:cs="仿宋_GB2312"/>
          <w:color w:val="000000"/>
          <w:kern w:val="0"/>
          <w:sz w:val="30"/>
          <w:szCs w:val="30"/>
          <w:lang w:val="en-US" w:eastAsia="zh-CN" w:bidi="ar-SA"/>
        </w:rPr>
        <w:t>低碳生物质开发与荒漠化生态修复综合利用技术研究。</w:t>
      </w:r>
    </w:p>
    <w:p w14:paraId="26A275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2"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Calibri" w:eastAsia="仿宋_GB2312" w:cs="Times New Roman"/>
          <w:b/>
          <w:bCs/>
          <w:sz w:val="30"/>
          <w:szCs w:val="30"/>
        </w:rPr>
        <w:t>研究方向（指南代码80</w:t>
      </w:r>
      <w:r>
        <w:rPr>
          <w:rFonts w:hint="eastAsia" w:ascii="仿宋_GB2312" w:hAnsi="Calibri" w:eastAsia="仿宋_GB2312" w:cs="Times New Roman"/>
          <w:b/>
          <w:bCs/>
          <w:sz w:val="30"/>
          <w:szCs w:val="30"/>
          <w:lang w:val="en-US" w:eastAsia="zh-CN"/>
        </w:rPr>
        <w:t>7</w:t>
      </w:r>
      <w:r>
        <w:rPr>
          <w:rFonts w:hint="eastAsia" w:ascii="仿宋_GB2312" w:hAnsi="Calibri" w:eastAsia="仿宋_GB2312" w:cs="Times New Roman"/>
          <w:b/>
          <w:bCs/>
          <w:sz w:val="30"/>
          <w:szCs w:val="30"/>
        </w:rPr>
        <w:t>）</w:t>
      </w:r>
      <w:r>
        <w:rPr>
          <w:rFonts w:hint="eastAsia" w:ascii="仿宋_GB2312" w:hAnsi="Calibri" w:eastAsia="仿宋_GB2312" w:cs="Times New Roman"/>
          <w:b/>
          <w:bCs/>
          <w:sz w:val="32"/>
          <w:szCs w:val="32"/>
        </w:rPr>
        <w:t>：</w:t>
      </w:r>
      <w:r>
        <w:rPr>
          <w:rFonts w:hint="eastAsia" w:ascii="仿宋_GB2312" w:hAnsi="仿宋_GB2312" w:eastAsia="仿宋_GB2312" w:cs="仿宋_GB2312"/>
          <w:color w:val="000000"/>
          <w:kern w:val="0"/>
          <w:sz w:val="32"/>
          <w:szCs w:val="32"/>
          <w:lang w:val="en-US" w:eastAsia="zh-CN" w:bidi="ar-SA"/>
        </w:rPr>
        <w:t>珍稀植物系统性保护与植物源花粉污染防治关键技术研究。</w:t>
      </w:r>
    </w:p>
    <w:p w14:paraId="01BD31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napToGrid/>
          <w:color w:val="auto"/>
          <w:kern w:val="0"/>
          <w:sz w:val="32"/>
          <w:szCs w:val="32"/>
          <w:shd w:val="clear" w:color="auto" w:fill="FFFFFF"/>
          <w:lang w:val="en-US" w:eastAsia="zh-CN" w:bidi="ar-SA"/>
        </w:rPr>
      </w:pPr>
      <w:r>
        <w:rPr>
          <w:rFonts w:hint="eastAsia" w:ascii="仿宋_GB2312" w:hAnsi="仿宋_GB2312" w:eastAsia="仿宋_GB2312" w:cs="仿宋_GB2312"/>
          <w:b/>
          <w:bCs/>
          <w:snapToGrid/>
          <w:color w:val="auto"/>
          <w:kern w:val="0"/>
          <w:sz w:val="32"/>
          <w:szCs w:val="32"/>
          <w:shd w:val="clear" w:color="auto" w:fill="FFFFFF"/>
          <w:lang w:val="en-US" w:eastAsia="zh-CN" w:bidi="ar-SA"/>
        </w:rPr>
        <w:t>（一）支持额度</w:t>
      </w:r>
    </w:p>
    <w:p w14:paraId="684794D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0" w:firstLineChars="200"/>
        <w:jc w:val="both"/>
        <w:textAlignment w:val="baseline"/>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每个项目财政拟支持额度不超过100万元。</w:t>
      </w:r>
    </w:p>
    <w:p w14:paraId="6A27A6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napToGrid/>
          <w:color w:val="auto"/>
          <w:kern w:val="0"/>
          <w:sz w:val="32"/>
          <w:szCs w:val="32"/>
          <w:shd w:val="clear" w:color="auto" w:fill="FFFFFF"/>
          <w:lang w:val="en-US" w:eastAsia="zh-CN" w:bidi="ar-SA"/>
        </w:rPr>
      </w:pPr>
      <w:r>
        <w:rPr>
          <w:rFonts w:hint="eastAsia" w:ascii="仿宋_GB2312" w:hAnsi="仿宋_GB2312" w:eastAsia="仿宋_GB2312" w:cs="仿宋_GB2312"/>
          <w:b/>
          <w:bCs/>
          <w:snapToGrid/>
          <w:color w:val="auto"/>
          <w:kern w:val="0"/>
          <w:sz w:val="32"/>
          <w:szCs w:val="32"/>
          <w:shd w:val="clear" w:color="auto" w:fill="FFFFFF"/>
          <w:lang w:val="en-US" w:eastAsia="zh-CN" w:bidi="ar-SA"/>
        </w:rPr>
        <w:t>（二）考核要求</w:t>
      </w:r>
    </w:p>
    <w:p w14:paraId="545E3EBD">
      <w:pPr>
        <w:numPr>
          <w:ilvl w:val="0"/>
          <w:numId w:val="0"/>
        </w:numPr>
        <w:spacing w:line="60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项目执行期不超过3年。项目完成时解决关键技术难题不少于1项并转化应用；授权Ⅰ类知识产权不少于1项，或Ⅱ类知识产权不少于5项；建立示范点（或装置）不少于1个；培养中级及以上专业技术（或硕士及以上）人才不少于3名。</w:t>
      </w:r>
    </w:p>
    <w:p w14:paraId="714DDBC3">
      <w:pPr>
        <w:spacing w:line="600" w:lineRule="exact"/>
        <w:ind w:firstLine="640" w:firstLineChars="200"/>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三、节能环保</w:t>
      </w:r>
    </w:p>
    <w:p w14:paraId="235102CF">
      <w:pPr>
        <w:spacing w:line="600" w:lineRule="exact"/>
        <w:ind w:firstLine="643"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Calibri" w:eastAsia="仿宋_GB2312" w:cs="Times New Roman"/>
          <w:b/>
          <w:bCs/>
          <w:sz w:val="32"/>
          <w:szCs w:val="32"/>
        </w:rPr>
        <w:t>研究方向（指南代码90</w:t>
      </w:r>
      <w:r>
        <w:rPr>
          <w:rFonts w:hint="eastAsia" w:ascii="仿宋_GB2312" w:hAnsi="Calibri" w:eastAsia="仿宋_GB2312" w:cs="Times New Roman"/>
          <w:b/>
          <w:bCs/>
          <w:sz w:val="32"/>
          <w:szCs w:val="32"/>
          <w:lang w:val="en-US" w:eastAsia="zh-CN"/>
        </w:rPr>
        <w:t>7</w:t>
      </w:r>
      <w:r>
        <w:rPr>
          <w:rFonts w:hint="eastAsia" w:ascii="仿宋_GB2312" w:hAnsi="Calibri" w:eastAsia="仿宋_GB2312" w:cs="Times New Roman"/>
          <w:b/>
          <w:bCs/>
          <w:sz w:val="32"/>
          <w:szCs w:val="32"/>
        </w:rPr>
        <w:t>）：</w:t>
      </w:r>
      <w:r>
        <w:rPr>
          <w:rFonts w:hint="eastAsia" w:ascii="仿宋_GB2312" w:hAnsi="仿宋_GB2312" w:eastAsia="仿宋_GB2312" w:cs="仿宋_GB2312"/>
          <w:color w:val="000000"/>
          <w:kern w:val="0"/>
          <w:sz w:val="32"/>
          <w:szCs w:val="32"/>
          <w:lang w:val="en-US" w:eastAsia="zh-CN" w:bidi="ar-SA"/>
        </w:rPr>
        <w:t>污染物（水、气、固、土）防治及综合利用关键技术研发。</w:t>
      </w:r>
    </w:p>
    <w:p w14:paraId="7F83B0D3">
      <w:pPr>
        <w:spacing w:line="600" w:lineRule="exact"/>
        <w:ind w:firstLine="643"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Calibri" w:eastAsia="仿宋_GB2312" w:cs="Times New Roman"/>
          <w:b/>
          <w:bCs/>
          <w:sz w:val="32"/>
          <w:szCs w:val="32"/>
        </w:rPr>
        <w:t>研究方向（指南代码90</w:t>
      </w:r>
      <w:r>
        <w:rPr>
          <w:rFonts w:hint="eastAsia" w:ascii="仿宋_GB2312" w:hAnsi="Calibri" w:eastAsia="仿宋_GB2312" w:cs="Times New Roman"/>
          <w:b/>
          <w:bCs/>
          <w:sz w:val="32"/>
          <w:szCs w:val="32"/>
          <w:lang w:val="en-US" w:eastAsia="zh-CN"/>
        </w:rPr>
        <w:t>8</w:t>
      </w:r>
      <w:r>
        <w:rPr>
          <w:rFonts w:hint="eastAsia" w:ascii="仿宋_GB2312" w:hAnsi="Calibri" w:eastAsia="仿宋_GB2312" w:cs="Times New Roman"/>
          <w:b/>
          <w:bCs/>
          <w:sz w:val="32"/>
          <w:szCs w:val="32"/>
        </w:rPr>
        <w:t>）：</w:t>
      </w:r>
      <w:r>
        <w:rPr>
          <w:rFonts w:hint="eastAsia" w:ascii="仿宋_GB2312" w:hAnsi="仿宋_GB2312" w:eastAsia="仿宋_GB2312" w:cs="仿宋_GB2312"/>
          <w:color w:val="000000"/>
          <w:kern w:val="0"/>
          <w:sz w:val="32"/>
          <w:szCs w:val="32"/>
          <w:lang w:val="en-US" w:eastAsia="zh-CN" w:bidi="ar-SA"/>
        </w:rPr>
        <w:t>绿色清洁智慧巡护机器人系统及多源信息融合低碳智慧监测平台关键技术研究。</w:t>
      </w:r>
    </w:p>
    <w:p w14:paraId="3C11AB7E">
      <w:pPr>
        <w:spacing w:line="600" w:lineRule="exact"/>
        <w:ind w:firstLine="643"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Calibri" w:eastAsia="仿宋_GB2312" w:cs="Times New Roman"/>
          <w:b/>
          <w:bCs/>
          <w:sz w:val="32"/>
          <w:szCs w:val="32"/>
        </w:rPr>
        <w:t>研究方向（指南代码90</w:t>
      </w:r>
      <w:r>
        <w:rPr>
          <w:rFonts w:hint="eastAsia" w:ascii="仿宋_GB2312" w:hAnsi="Calibri" w:eastAsia="仿宋_GB2312" w:cs="Times New Roman"/>
          <w:b/>
          <w:bCs/>
          <w:sz w:val="32"/>
          <w:szCs w:val="32"/>
          <w:lang w:val="en-US" w:eastAsia="zh-CN"/>
        </w:rPr>
        <w:t>9</w:t>
      </w:r>
      <w:r>
        <w:rPr>
          <w:rFonts w:hint="eastAsia" w:ascii="仿宋_GB2312" w:hAnsi="Calibri" w:eastAsia="仿宋_GB2312" w:cs="Times New Roman"/>
          <w:b/>
          <w:bCs/>
          <w:sz w:val="32"/>
          <w:szCs w:val="32"/>
        </w:rPr>
        <w:t>）：</w:t>
      </w:r>
      <w:r>
        <w:rPr>
          <w:rFonts w:hint="eastAsia" w:ascii="仿宋_GB2312" w:hAnsi="仿宋_GB2312" w:eastAsia="仿宋_GB2312" w:cs="仿宋_GB2312"/>
          <w:color w:val="000000"/>
          <w:kern w:val="0"/>
          <w:sz w:val="32"/>
          <w:szCs w:val="32"/>
          <w:lang w:val="en-US" w:eastAsia="zh-CN" w:bidi="ar-SA"/>
        </w:rPr>
        <w:t>新能源智能微电网节能及绿色低碳催化还原CO₂关键技术研究。</w:t>
      </w:r>
    </w:p>
    <w:p w14:paraId="310CDF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napToGrid/>
          <w:color w:val="auto"/>
          <w:kern w:val="0"/>
          <w:sz w:val="32"/>
          <w:szCs w:val="32"/>
          <w:shd w:val="clear" w:color="auto" w:fill="FFFFFF"/>
          <w:lang w:val="en-US" w:eastAsia="zh-CN" w:bidi="ar-SA"/>
        </w:rPr>
      </w:pPr>
      <w:r>
        <w:rPr>
          <w:rFonts w:hint="eastAsia" w:ascii="仿宋_GB2312" w:hAnsi="仿宋_GB2312" w:eastAsia="仿宋_GB2312" w:cs="仿宋_GB2312"/>
          <w:b/>
          <w:bCs/>
          <w:snapToGrid/>
          <w:color w:val="auto"/>
          <w:kern w:val="0"/>
          <w:sz w:val="32"/>
          <w:szCs w:val="32"/>
          <w:shd w:val="clear" w:color="auto" w:fill="FFFFFF"/>
          <w:lang w:val="en-US" w:eastAsia="zh-CN" w:bidi="ar-SA"/>
        </w:rPr>
        <w:t>（一）支持额度</w:t>
      </w:r>
    </w:p>
    <w:p w14:paraId="1E95F5D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0" w:firstLineChars="200"/>
        <w:jc w:val="both"/>
        <w:textAlignment w:val="baseline"/>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每个项目财政拟支持额度不超过100万元。</w:t>
      </w:r>
    </w:p>
    <w:p w14:paraId="5BF12B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napToGrid/>
          <w:color w:val="auto"/>
          <w:kern w:val="0"/>
          <w:sz w:val="32"/>
          <w:szCs w:val="32"/>
          <w:shd w:val="clear" w:color="auto" w:fill="FFFFFF"/>
          <w:lang w:val="en-US" w:eastAsia="zh-CN" w:bidi="ar-SA"/>
        </w:rPr>
      </w:pPr>
      <w:r>
        <w:rPr>
          <w:rFonts w:hint="eastAsia" w:ascii="仿宋_GB2312" w:hAnsi="仿宋_GB2312" w:eastAsia="仿宋_GB2312" w:cs="仿宋_GB2312"/>
          <w:b/>
          <w:bCs/>
          <w:snapToGrid/>
          <w:color w:val="auto"/>
          <w:kern w:val="0"/>
          <w:sz w:val="32"/>
          <w:szCs w:val="32"/>
          <w:shd w:val="clear" w:color="auto" w:fill="FFFFFF"/>
          <w:lang w:val="en-US" w:eastAsia="zh-CN" w:bidi="ar-SA"/>
        </w:rPr>
        <w:t>（二）考核要求</w:t>
      </w:r>
    </w:p>
    <w:p w14:paraId="70C8F05B">
      <w:pPr>
        <w:numPr>
          <w:ilvl w:val="0"/>
          <w:numId w:val="0"/>
        </w:numPr>
        <w:spacing w:line="60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项目执行期不超过3年。项目完成时解决关键技术难题不少于1项并转化应用；授权Ⅰ类知识产权不少于1项，或Ⅱ类知识产权不少于5项；建立示范点（或装置）不少于1个；培养中级及以上专业技术（或硕士及以上）人才不少于3名。</w:t>
      </w:r>
    </w:p>
    <w:p w14:paraId="2B800D80">
      <w:pPr>
        <w:keepNext/>
        <w:keepLines/>
        <w:widowControl w:val="0"/>
        <w:spacing w:before="260" w:after="260" w:line="416" w:lineRule="auto"/>
        <w:jc w:val="both"/>
        <w:outlineLvl w:val="1"/>
        <w:rPr>
          <w:rFonts w:ascii="Cambria" w:hAnsi="Cambria" w:eastAsia="宋体" w:cs="Times New Roman"/>
          <w:b/>
          <w:bCs/>
          <w:kern w:val="2"/>
          <w:sz w:val="32"/>
          <w:szCs w:val="32"/>
          <w:lang w:val="en-US" w:eastAsia="zh-CN" w:bidi="ar-SA"/>
        </w:rPr>
      </w:pPr>
    </w:p>
    <w:p w14:paraId="1DFA96B1"/>
    <w:sectPr>
      <w:footerReference r:id="rId4" w:type="first"/>
      <w:footerReference r:id="rId3" w:type="default"/>
      <w:pgSz w:w="11906" w:h="16838"/>
      <w:pgMar w:top="1440" w:right="1287" w:bottom="1440" w:left="1633"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Calibri" w:hAnsi="Calibri" w:eastAsia="宋体" w:cs="Times New Roman"/>
        <w:kern w:val="2"/>
        <w:sz w:val="21"/>
        <w:szCs w:val="22"/>
        <w:lang w:val="en-US" w:eastAsia="zh-CN" w:bidi="ar-SA"/>
      </w:rPr>
      <w:id w:val="1096292386"/>
      <w:docPartObj>
        <w:docPartGallery w:val="autotext"/>
      </w:docPartObj>
    </w:sdtPr>
    <w:sdtEndPr>
      <w:rPr>
        <w:rFonts w:ascii="仿宋" w:hAnsi="仿宋" w:eastAsia="仿宋" w:cs="Times New Roman"/>
        <w:kern w:val="2"/>
        <w:sz w:val="32"/>
        <w:szCs w:val="32"/>
        <w:lang w:val="en-US" w:eastAsia="zh-CN" w:bidi="ar-SA"/>
      </w:rPr>
    </w:sdtEndPr>
    <w:sdtContent>
      <w:p w14:paraId="79038948">
        <w:pPr>
          <w:widowControl w:val="0"/>
          <w:tabs>
            <w:tab w:val="center" w:pos="4153"/>
            <w:tab w:val="right" w:pos="8306"/>
          </w:tabs>
          <w:snapToGrid w:val="0"/>
          <w:spacing w:line="560" w:lineRule="exact"/>
          <w:jc w:val="center"/>
          <w:rPr>
            <w:rFonts w:ascii="仿宋" w:hAnsi="仿宋" w:eastAsia="仿宋" w:cs="Times New Roman"/>
            <w:kern w:val="2"/>
            <w:sz w:val="32"/>
            <w:szCs w:val="32"/>
            <w:lang w:val="en-US" w:eastAsia="zh-CN" w:bidi="ar-SA"/>
          </w:rPr>
        </w:pPr>
        <w:r>
          <w:rPr>
            <w:rFonts w:ascii="仿宋" w:hAnsi="仿宋" w:eastAsia="仿宋" w:cs="Times New Roman"/>
            <w:kern w:val="2"/>
            <w:sz w:val="32"/>
            <w:szCs w:val="32"/>
            <w:lang w:val="en-US" w:eastAsia="zh-CN" w:bidi="ar-SA"/>
          </w:rPr>
          <w:fldChar w:fldCharType="begin"/>
        </w:r>
        <w:r>
          <w:rPr>
            <w:rFonts w:ascii="仿宋" w:hAnsi="仿宋" w:eastAsia="仿宋" w:cs="Times New Roman"/>
            <w:kern w:val="2"/>
            <w:sz w:val="32"/>
            <w:szCs w:val="32"/>
            <w:lang w:val="en-US" w:eastAsia="zh-CN" w:bidi="ar-SA"/>
          </w:rPr>
          <w:instrText xml:space="preserve">PAGE   \* MERGEFORMAT</w:instrText>
        </w:r>
        <w:r>
          <w:rPr>
            <w:rFonts w:ascii="仿宋" w:hAnsi="仿宋" w:eastAsia="仿宋" w:cs="Times New Roman"/>
            <w:kern w:val="2"/>
            <w:sz w:val="32"/>
            <w:szCs w:val="32"/>
            <w:lang w:val="en-US" w:eastAsia="zh-CN" w:bidi="ar-SA"/>
          </w:rPr>
          <w:fldChar w:fldCharType="separate"/>
        </w:r>
        <w:r>
          <w:rPr>
            <w:rFonts w:ascii="仿宋" w:hAnsi="仿宋" w:eastAsia="仿宋" w:cs="Times New Roman"/>
            <w:kern w:val="2"/>
            <w:sz w:val="32"/>
            <w:szCs w:val="32"/>
            <w:lang w:val="zh-CN" w:eastAsia="zh-CN" w:bidi="ar-SA"/>
          </w:rPr>
          <w:t>-</w:t>
        </w:r>
        <w:r>
          <w:rPr>
            <w:rFonts w:ascii="仿宋" w:hAnsi="仿宋" w:eastAsia="仿宋" w:cs="Times New Roman"/>
            <w:kern w:val="2"/>
            <w:sz w:val="32"/>
            <w:szCs w:val="32"/>
            <w:lang w:val="en-US" w:eastAsia="zh-CN" w:bidi="ar-SA"/>
          </w:rPr>
          <w:t xml:space="preserve"> 20 -</w:t>
        </w:r>
        <w:r>
          <w:rPr>
            <w:rFonts w:ascii="仿宋" w:hAnsi="仿宋" w:eastAsia="仿宋" w:cs="Times New Roman"/>
            <w:kern w:val="2"/>
            <w:sz w:val="32"/>
            <w:szCs w:val="32"/>
            <w:lang w:val="en-US" w:eastAsia="zh-CN" w:bidi="ar-SA"/>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Calibri" w:hAnsi="Calibri" w:eastAsia="宋体" w:cs="Times New Roman"/>
        <w:kern w:val="2"/>
        <w:sz w:val="21"/>
        <w:szCs w:val="22"/>
        <w:lang w:val="en-US" w:eastAsia="zh-CN" w:bidi="ar-SA"/>
      </w:rPr>
      <w:id w:val="456842170"/>
      <w:docPartObj>
        <w:docPartGallery w:val="autotext"/>
      </w:docPartObj>
    </w:sdtPr>
    <w:sdtEndPr>
      <w:rPr>
        <w:rFonts w:ascii="仿宋" w:hAnsi="仿宋" w:eastAsia="仿宋" w:cs="Times New Roman"/>
        <w:kern w:val="2"/>
        <w:sz w:val="32"/>
        <w:szCs w:val="32"/>
        <w:lang w:val="en-US" w:eastAsia="zh-CN" w:bidi="ar-SA"/>
      </w:rPr>
    </w:sdtEndPr>
    <w:sdtContent>
      <w:p w14:paraId="6E2565C7">
        <w:pPr>
          <w:widowControl w:val="0"/>
          <w:tabs>
            <w:tab w:val="center" w:pos="4153"/>
            <w:tab w:val="right" w:pos="8306"/>
          </w:tabs>
          <w:snapToGrid w:val="0"/>
          <w:spacing w:line="560" w:lineRule="exact"/>
          <w:jc w:val="center"/>
          <w:rPr>
            <w:rFonts w:ascii="仿宋" w:hAnsi="仿宋" w:eastAsia="仿宋" w:cs="Times New Roman"/>
            <w:kern w:val="2"/>
            <w:sz w:val="32"/>
            <w:szCs w:val="32"/>
            <w:lang w:val="en-US" w:eastAsia="zh-CN" w:bidi="ar-SA"/>
          </w:rPr>
        </w:pPr>
        <w:r>
          <w:rPr>
            <w:rFonts w:ascii="仿宋" w:hAnsi="仿宋" w:eastAsia="仿宋" w:cs="Times New Roman"/>
            <w:kern w:val="2"/>
            <w:sz w:val="32"/>
            <w:szCs w:val="32"/>
            <w:lang w:val="en-US" w:eastAsia="zh-CN" w:bidi="ar-SA"/>
          </w:rPr>
          <w:fldChar w:fldCharType="begin"/>
        </w:r>
        <w:r>
          <w:rPr>
            <w:rFonts w:ascii="仿宋" w:hAnsi="仿宋" w:eastAsia="仿宋" w:cs="Times New Roman"/>
            <w:kern w:val="2"/>
            <w:sz w:val="32"/>
            <w:szCs w:val="32"/>
            <w:lang w:val="en-US" w:eastAsia="zh-CN" w:bidi="ar-SA"/>
          </w:rPr>
          <w:instrText xml:space="preserve">PAGE   \* MERGEFORMAT</w:instrText>
        </w:r>
        <w:r>
          <w:rPr>
            <w:rFonts w:ascii="仿宋" w:hAnsi="仿宋" w:eastAsia="仿宋" w:cs="Times New Roman"/>
            <w:kern w:val="2"/>
            <w:sz w:val="32"/>
            <w:szCs w:val="32"/>
            <w:lang w:val="en-US" w:eastAsia="zh-CN" w:bidi="ar-SA"/>
          </w:rPr>
          <w:fldChar w:fldCharType="separate"/>
        </w:r>
        <w:r>
          <w:rPr>
            <w:rFonts w:ascii="仿宋" w:hAnsi="仿宋" w:eastAsia="仿宋" w:cs="Times New Roman"/>
            <w:kern w:val="2"/>
            <w:sz w:val="32"/>
            <w:szCs w:val="32"/>
            <w:lang w:val="zh-CN" w:eastAsia="zh-CN" w:bidi="ar-SA"/>
          </w:rPr>
          <w:t>-</w:t>
        </w:r>
        <w:r>
          <w:rPr>
            <w:rFonts w:ascii="仿宋" w:hAnsi="仿宋" w:eastAsia="仿宋" w:cs="Times New Roman"/>
            <w:kern w:val="2"/>
            <w:sz w:val="32"/>
            <w:szCs w:val="32"/>
            <w:lang w:val="en-US" w:eastAsia="zh-CN" w:bidi="ar-SA"/>
          </w:rPr>
          <w:t xml:space="preserve"> 17 -</w:t>
        </w:r>
        <w:r>
          <w:rPr>
            <w:rFonts w:ascii="仿宋" w:hAnsi="仿宋" w:eastAsia="仿宋" w:cs="Times New Roman"/>
            <w:kern w:val="2"/>
            <w:sz w:val="32"/>
            <w:szCs w:val="32"/>
            <w:lang w:val="en-US" w:eastAsia="zh-CN" w:bidi="ar-SA"/>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hNDgxNTE2YjFmMGY4YTE0MzBkMDA2OGMwODg1YTIifQ=="/>
  </w:docVars>
  <w:rsids>
    <w:rsidRoot w:val="03A23456"/>
    <w:rsid w:val="03A23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2024-09-19T10:59:00Z</dcterms:created>
  <dc:creator>晚风</dc:creator>
  <cp:lastModifiedBy>晚风</cp:lastModifiedBy>
  <dcterms:modified xsi:type="dcterms:W3CDTF">2024-09-19T11:00:44Z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F9F851E7EF9F4563AF4519B45DA3A676_11</vt:lpwstr>
  </property>
</Properties>
</file>