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color w:val="FF0000"/>
          <w:spacing w:val="-51"/>
          <w:w w:val="75"/>
          <w:sz w:val="40"/>
          <w:szCs w:val="40"/>
        </w:rPr>
      </w:pPr>
    </w:p>
    <w:p>
      <w:pPr>
        <w:pStyle w:val="2"/>
        <w:rPr>
          <w:rFonts w:hint="eastAsia"/>
        </w:rPr>
      </w:pPr>
    </w:p>
    <w:tbl>
      <w:tblPr>
        <w:tblStyle w:val="13"/>
        <w:tblW w:w="9240" w:type="dxa"/>
        <w:tblInd w:w="-1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69"/>
        <w:gridCol w:w="1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8" w:hRule="atLeast"/>
        </w:trPr>
        <w:tc>
          <w:tcPr>
            <w:tcW w:w="7569" w:type="dxa"/>
            <w:tcBorders>
              <w:tl2br w:val="nil"/>
              <w:tr2bl w:val="nil"/>
            </w:tcBorders>
            <w:vAlign w:val="top"/>
          </w:tcPr>
          <w:p>
            <w:pPr>
              <w:jc w:val="distribute"/>
              <w:rPr>
                <w:rFonts w:hint="eastAsia" w:ascii="方正小标宋简体" w:hAnsi="方正小标宋简体" w:eastAsia="方正小标宋简体" w:cs="方正小标宋简体"/>
                <w:color w:val="FF0000"/>
                <w:spacing w:val="-51"/>
                <w:w w:val="75"/>
                <w:sz w:val="40"/>
                <w:szCs w:val="40"/>
              </w:rPr>
            </w:pPr>
          </w:p>
          <w:p>
            <w:pPr>
              <w:jc w:val="distribute"/>
              <w:rPr>
                <w:rFonts w:hint="default" w:ascii="方正小标宋简体" w:hAnsi="方正小标宋简体" w:eastAsia="方正小标宋简体" w:cs="方正小标宋简体"/>
                <w:color w:val="FF0000"/>
                <w:kern w:val="2"/>
                <w:sz w:val="40"/>
                <w:szCs w:val="40"/>
                <w:lang w:val="en-US" w:eastAsia="zh-CN" w:bidi="ar-SA"/>
              </w:rPr>
            </w:pPr>
            <w:r>
              <w:rPr>
                <w:rFonts w:hint="eastAsia" w:ascii="方正小标宋简体" w:hAnsi="方正小标宋简体" w:eastAsia="方正小标宋简体" w:cs="方正小标宋简体"/>
                <w:color w:val="FF0000"/>
                <w:spacing w:val="-51"/>
                <w:w w:val="75"/>
                <w:sz w:val="40"/>
                <w:szCs w:val="40"/>
              </w:rPr>
              <w:t>鄂尔多斯市</w:t>
            </w:r>
            <w:r>
              <w:rPr>
                <w:rFonts w:hint="eastAsia" w:ascii="方正小标宋简体" w:hAnsi="方正小标宋简体" w:eastAsia="方正小标宋简体" w:cs="方正小标宋简体"/>
                <w:color w:val="FF0000"/>
                <w:spacing w:val="-51"/>
                <w:w w:val="75"/>
                <w:sz w:val="40"/>
                <w:szCs w:val="40"/>
                <w:lang w:val="en-US" w:eastAsia="zh-CN"/>
              </w:rPr>
              <w:t>东胜区工信和科技局</w:t>
            </w:r>
          </w:p>
        </w:tc>
        <w:tc>
          <w:tcPr>
            <w:tcW w:w="1671" w:type="dxa"/>
            <w:vMerge w:val="restart"/>
            <w:tcBorders>
              <w:tl2br w:val="nil"/>
              <w:tr2bl w:val="nil"/>
            </w:tcBorders>
            <w:vAlign w:val="center"/>
          </w:tcPr>
          <w:p>
            <w:pPr>
              <w:spacing w:line="1000" w:lineRule="exact"/>
              <w:rPr>
                <w:sz w:val="18"/>
                <w:szCs w:val="21"/>
              </w:rPr>
            </w:pPr>
            <w:r>
              <w:rPr>
                <w:rFonts w:hint="eastAsia" w:ascii="方正小标宋简体" w:hAnsi="方正小标宋简体" w:eastAsia="方正小标宋简体" w:cs="方正小标宋简体"/>
                <w:color w:val="FF0000"/>
                <w:sz w:val="56"/>
                <w:szCs w:val="56"/>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7569" w:type="dxa"/>
            <w:tcBorders>
              <w:tl2br w:val="nil"/>
              <w:tr2bl w:val="nil"/>
            </w:tcBorders>
          </w:tcPr>
          <w:p>
            <w:pPr>
              <w:jc w:val="distribute"/>
              <w:rPr>
                <w:rFonts w:ascii="方正小标宋简体" w:hAnsi="方正小标宋简体" w:eastAsia="方正小标宋简体" w:cs="方正小标宋简体"/>
                <w:color w:val="FF0000"/>
                <w:sz w:val="40"/>
                <w:szCs w:val="40"/>
              </w:rPr>
            </w:pPr>
            <w:r>
              <w:rPr>
                <w:rFonts w:hint="eastAsia" w:ascii="方正小标宋简体" w:hAnsi="方正小标宋简体" w:eastAsia="方正小标宋简体" w:cs="方正小标宋简体"/>
                <w:color w:val="FF0000"/>
                <w:spacing w:val="-51"/>
                <w:w w:val="75"/>
                <w:sz w:val="40"/>
                <w:szCs w:val="40"/>
              </w:rPr>
              <w:t>鄂尔多斯市</w:t>
            </w:r>
            <w:r>
              <w:rPr>
                <w:rFonts w:hint="eastAsia" w:ascii="方正小标宋简体" w:hAnsi="方正小标宋简体" w:eastAsia="方正小标宋简体" w:cs="方正小标宋简体"/>
                <w:color w:val="FF0000"/>
                <w:spacing w:val="-51"/>
                <w:w w:val="75"/>
                <w:sz w:val="40"/>
                <w:szCs w:val="40"/>
                <w:lang w:val="en-US" w:eastAsia="zh-CN"/>
              </w:rPr>
              <w:t>东胜区</w:t>
            </w:r>
            <w:r>
              <w:rPr>
                <w:rFonts w:hint="eastAsia" w:ascii="方正小标宋简体" w:hAnsi="方正小标宋简体" w:eastAsia="方正小标宋简体" w:cs="方正小标宋简体"/>
                <w:color w:val="FF0000"/>
                <w:spacing w:val="-51"/>
                <w:w w:val="75"/>
                <w:sz w:val="40"/>
                <w:szCs w:val="40"/>
                <w:lang w:eastAsia="zh-CN"/>
              </w:rPr>
              <w:t>发展和改革委员会</w:t>
            </w:r>
          </w:p>
        </w:tc>
        <w:tc>
          <w:tcPr>
            <w:tcW w:w="1671" w:type="dxa"/>
            <w:vMerge w:val="continue"/>
            <w:tcBorders>
              <w:tl2br w:val="nil"/>
              <w:tr2bl w:val="nil"/>
            </w:tcBorders>
          </w:tcPr>
          <w:p>
            <w:pPr>
              <w:spacing w:line="1000" w:lineRule="exact"/>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7569" w:type="dxa"/>
            <w:tcBorders>
              <w:tl2br w:val="nil"/>
              <w:tr2bl w:val="nil"/>
            </w:tcBorders>
          </w:tcPr>
          <w:p>
            <w:pPr>
              <w:jc w:val="distribute"/>
              <w:rPr>
                <w:rFonts w:hint="eastAsia" w:ascii="方正小标宋简体" w:hAnsi="方正小标宋简体" w:eastAsia="方正小标宋简体" w:cs="方正小标宋简体"/>
                <w:color w:val="FF0000"/>
                <w:spacing w:val="-51"/>
                <w:w w:val="75"/>
                <w:sz w:val="40"/>
                <w:szCs w:val="40"/>
                <w:lang w:eastAsia="zh-CN"/>
              </w:rPr>
            </w:pPr>
            <w:r>
              <w:rPr>
                <w:rFonts w:hint="eastAsia" w:ascii="方正小标宋简体" w:hAnsi="方正小标宋简体" w:eastAsia="方正小标宋简体" w:cs="方正小标宋简体"/>
                <w:color w:val="FF0000"/>
                <w:spacing w:val="-51"/>
                <w:w w:val="75"/>
                <w:sz w:val="40"/>
                <w:szCs w:val="40"/>
                <w:lang w:eastAsia="zh-CN"/>
              </w:rPr>
              <w:t>鄂尔多斯市</w:t>
            </w:r>
            <w:r>
              <w:rPr>
                <w:rFonts w:hint="eastAsia" w:ascii="方正小标宋简体" w:hAnsi="方正小标宋简体" w:eastAsia="方正小标宋简体" w:cs="方正小标宋简体"/>
                <w:color w:val="FF0000"/>
                <w:spacing w:val="-51"/>
                <w:w w:val="75"/>
                <w:sz w:val="40"/>
                <w:szCs w:val="40"/>
                <w:lang w:val="en-US" w:eastAsia="zh-CN"/>
              </w:rPr>
              <w:t>东胜区</w:t>
            </w:r>
            <w:r>
              <w:rPr>
                <w:rFonts w:hint="eastAsia" w:ascii="方正小标宋简体" w:hAnsi="方正小标宋简体" w:eastAsia="方正小标宋简体" w:cs="方正小标宋简体"/>
                <w:color w:val="FF0000"/>
                <w:spacing w:val="-51"/>
                <w:w w:val="75"/>
                <w:sz w:val="40"/>
                <w:szCs w:val="40"/>
                <w:lang w:eastAsia="zh-CN"/>
              </w:rPr>
              <w:t>财政局</w:t>
            </w:r>
          </w:p>
        </w:tc>
        <w:tc>
          <w:tcPr>
            <w:tcW w:w="1671" w:type="dxa"/>
            <w:vMerge w:val="continue"/>
            <w:tcBorders>
              <w:tl2br w:val="nil"/>
              <w:tr2bl w:val="nil"/>
            </w:tcBorders>
          </w:tcPr>
          <w:p>
            <w:pPr>
              <w:spacing w:line="1000" w:lineRule="exact"/>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69" w:type="dxa"/>
            <w:tcBorders>
              <w:tl2br w:val="nil"/>
              <w:tr2bl w:val="nil"/>
            </w:tcBorders>
          </w:tcPr>
          <w:p>
            <w:pPr>
              <w:jc w:val="distribute"/>
              <w:rPr>
                <w:rFonts w:hint="default" w:ascii="方正小标宋简体" w:hAnsi="方正小标宋简体" w:eastAsia="方正小标宋简体" w:cs="方正小标宋简体"/>
                <w:color w:val="FF0000"/>
                <w:spacing w:val="-51"/>
                <w:w w:val="75"/>
                <w:sz w:val="40"/>
                <w:szCs w:val="40"/>
                <w:lang w:val="en-US" w:eastAsia="zh-CN"/>
              </w:rPr>
            </w:pPr>
            <w:r>
              <w:rPr>
                <w:rFonts w:hint="eastAsia" w:ascii="方正小标宋简体" w:hAnsi="方正小标宋简体" w:eastAsia="方正小标宋简体" w:cs="方正小标宋简体"/>
                <w:color w:val="FF0000"/>
                <w:spacing w:val="-51"/>
                <w:w w:val="75"/>
                <w:sz w:val="40"/>
                <w:szCs w:val="40"/>
                <w:lang w:eastAsia="zh-CN"/>
              </w:rPr>
              <w:t>鄂尔多斯市生态环境局</w:t>
            </w:r>
            <w:r>
              <w:rPr>
                <w:rFonts w:hint="eastAsia" w:ascii="方正小标宋简体" w:hAnsi="方正小标宋简体" w:eastAsia="方正小标宋简体" w:cs="方正小标宋简体"/>
                <w:color w:val="FF0000"/>
                <w:spacing w:val="-51"/>
                <w:w w:val="75"/>
                <w:sz w:val="40"/>
                <w:szCs w:val="40"/>
                <w:lang w:val="en-US" w:eastAsia="zh-CN"/>
              </w:rPr>
              <w:t>东胜区分局</w:t>
            </w:r>
          </w:p>
        </w:tc>
        <w:tc>
          <w:tcPr>
            <w:tcW w:w="1671" w:type="dxa"/>
            <w:vMerge w:val="continue"/>
            <w:tcBorders>
              <w:tl2br w:val="nil"/>
              <w:tr2bl w:val="nil"/>
            </w:tcBorders>
          </w:tcPr>
          <w:p>
            <w:pPr>
              <w:spacing w:line="1000" w:lineRule="exact"/>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69" w:type="dxa"/>
            <w:tcBorders>
              <w:tl2br w:val="nil"/>
              <w:tr2bl w:val="nil"/>
            </w:tcBorders>
          </w:tcPr>
          <w:p>
            <w:pPr>
              <w:jc w:val="distribute"/>
              <w:rPr>
                <w:rFonts w:hint="eastAsia" w:ascii="方正小标宋简体" w:hAnsi="方正小标宋简体" w:eastAsia="方正小标宋简体" w:cs="方正小标宋简体"/>
                <w:color w:val="FF0000"/>
                <w:spacing w:val="-51"/>
                <w:w w:val="75"/>
                <w:sz w:val="40"/>
                <w:szCs w:val="40"/>
                <w:lang w:eastAsia="zh-CN"/>
              </w:rPr>
            </w:pPr>
            <w:r>
              <w:rPr>
                <w:rFonts w:hint="eastAsia" w:ascii="方正小标宋简体" w:hAnsi="方正小标宋简体" w:eastAsia="方正小标宋简体" w:cs="方正小标宋简体"/>
                <w:color w:val="FF0000"/>
                <w:spacing w:val="-51"/>
                <w:w w:val="75"/>
                <w:sz w:val="40"/>
                <w:szCs w:val="40"/>
                <w:lang w:eastAsia="zh-CN"/>
              </w:rPr>
              <w:t>鄂尔多斯市</w:t>
            </w:r>
            <w:r>
              <w:rPr>
                <w:rFonts w:hint="eastAsia" w:ascii="方正小标宋简体" w:hAnsi="方正小标宋简体" w:eastAsia="方正小标宋简体" w:cs="方正小标宋简体"/>
                <w:color w:val="FF0000"/>
                <w:spacing w:val="-51"/>
                <w:w w:val="75"/>
                <w:sz w:val="40"/>
                <w:szCs w:val="40"/>
                <w:lang w:val="en-US" w:eastAsia="zh-CN"/>
              </w:rPr>
              <w:t>东胜区</w:t>
            </w:r>
            <w:r>
              <w:rPr>
                <w:rFonts w:hint="eastAsia" w:ascii="方正小标宋简体" w:hAnsi="方正小标宋简体" w:eastAsia="方正小标宋简体" w:cs="方正小标宋简体"/>
                <w:color w:val="FF0000"/>
                <w:spacing w:val="-51"/>
                <w:w w:val="75"/>
                <w:sz w:val="40"/>
                <w:szCs w:val="40"/>
                <w:lang w:eastAsia="zh-CN"/>
              </w:rPr>
              <w:t>交通运输局</w:t>
            </w:r>
          </w:p>
        </w:tc>
        <w:tc>
          <w:tcPr>
            <w:tcW w:w="1671" w:type="dxa"/>
            <w:vMerge w:val="continue"/>
            <w:tcBorders>
              <w:tl2br w:val="nil"/>
              <w:tr2bl w:val="nil"/>
            </w:tcBorders>
          </w:tcPr>
          <w:p>
            <w:pPr>
              <w:spacing w:line="1000" w:lineRule="exact"/>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69" w:type="dxa"/>
            <w:tcBorders>
              <w:tl2br w:val="nil"/>
              <w:tr2bl w:val="nil"/>
            </w:tcBorders>
          </w:tcPr>
          <w:p>
            <w:pPr>
              <w:jc w:val="distribute"/>
              <w:rPr>
                <w:rFonts w:hint="eastAsia" w:ascii="方正小标宋简体" w:hAnsi="方正小标宋简体" w:eastAsia="方正小标宋简体" w:cs="方正小标宋简体"/>
                <w:color w:val="FF0000"/>
                <w:spacing w:val="-51"/>
                <w:w w:val="75"/>
                <w:sz w:val="40"/>
                <w:szCs w:val="40"/>
                <w:lang w:eastAsia="zh-CN"/>
              </w:rPr>
            </w:pPr>
            <w:r>
              <w:rPr>
                <w:rFonts w:hint="eastAsia" w:ascii="方正小标宋简体" w:hAnsi="方正小标宋简体" w:eastAsia="方正小标宋简体" w:cs="方正小标宋简体"/>
                <w:color w:val="FF0000"/>
                <w:spacing w:val="-51"/>
                <w:w w:val="75"/>
                <w:sz w:val="40"/>
                <w:szCs w:val="40"/>
                <w:lang w:eastAsia="zh-CN"/>
              </w:rPr>
              <w:t>鄂尔多斯市</w:t>
            </w:r>
            <w:r>
              <w:rPr>
                <w:rFonts w:hint="eastAsia" w:ascii="方正小标宋简体" w:hAnsi="方正小标宋简体" w:eastAsia="方正小标宋简体" w:cs="方正小标宋简体"/>
                <w:color w:val="FF0000"/>
                <w:spacing w:val="-51"/>
                <w:w w:val="75"/>
                <w:sz w:val="40"/>
                <w:szCs w:val="40"/>
                <w:lang w:val="en-US" w:eastAsia="zh-CN"/>
              </w:rPr>
              <w:t>东胜区</w:t>
            </w:r>
            <w:r>
              <w:rPr>
                <w:rFonts w:hint="eastAsia" w:ascii="方正小标宋简体" w:hAnsi="方正小标宋简体" w:eastAsia="方正小标宋简体" w:cs="方正小标宋简体"/>
                <w:color w:val="FF0000"/>
                <w:spacing w:val="-51"/>
                <w:w w:val="75"/>
                <w:sz w:val="40"/>
                <w:szCs w:val="40"/>
                <w:lang w:eastAsia="zh-CN"/>
              </w:rPr>
              <w:t>农牧局</w:t>
            </w:r>
          </w:p>
        </w:tc>
        <w:tc>
          <w:tcPr>
            <w:tcW w:w="1671" w:type="dxa"/>
            <w:vMerge w:val="continue"/>
            <w:tcBorders>
              <w:tl2br w:val="nil"/>
              <w:tr2bl w:val="nil"/>
            </w:tcBorders>
          </w:tcPr>
          <w:p>
            <w:pPr>
              <w:spacing w:line="1000" w:lineRule="exact"/>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69" w:type="dxa"/>
            <w:tcBorders>
              <w:tl2br w:val="nil"/>
              <w:tr2bl w:val="nil"/>
            </w:tcBorders>
          </w:tcPr>
          <w:p>
            <w:pPr>
              <w:jc w:val="distribute"/>
              <w:rPr>
                <w:rFonts w:hint="eastAsia" w:ascii="方正小标宋简体" w:hAnsi="方正小标宋简体" w:eastAsia="方正小标宋简体" w:cs="方正小标宋简体"/>
                <w:color w:val="FF0000"/>
                <w:spacing w:val="-51"/>
                <w:w w:val="75"/>
                <w:sz w:val="40"/>
                <w:szCs w:val="40"/>
                <w:lang w:eastAsia="zh-CN"/>
              </w:rPr>
            </w:pPr>
            <w:r>
              <w:rPr>
                <w:rFonts w:hint="eastAsia" w:ascii="方正小标宋简体" w:hAnsi="方正小标宋简体" w:eastAsia="方正小标宋简体" w:cs="方正小标宋简体"/>
                <w:color w:val="FF0000"/>
                <w:spacing w:val="-51"/>
                <w:w w:val="75"/>
                <w:sz w:val="40"/>
                <w:szCs w:val="40"/>
                <w:lang w:eastAsia="zh-CN"/>
              </w:rPr>
              <w:t>鄂尔多斯市</w:t>
            </w:r>
            <w:r>
              <w:rPr>
                <w:rFonts w:hint="eastAsia" w:ascii="方正小标宋简体" w:hAnsi="方正小标宋简体" w:eastAsia="方正小标宋简体" w:cs="方正小标宋简体"/>
                <w:color w:val="FF0000"/>
                <w:spacing w:val="-51"/>
                <w:w w:val="75"/>
                <w:sz w:val="40"/>
                <w:szCs w:val="40"/>
                <w:lang w:val="en-US" w:eastAsia="zh-CN"/>
              </w:rPr>
              <w:t>东胜区</w:t>
            </w:r>
            <w:r>
              <w:rPr>
                <w:rFonts w:hint="eastAsia" w:ascii="方正小标宋简体" w:hAnsi="方正小标宋简体" w:eastAsia="方正小标宋简体" w:cs="方正小标宋简体"/>
                <w:color w:val="FF0000"/>
                <w:spacing w:val="-51"/>
                <w:w w:val="75"/>
                <w:sz w:val="40"/>
                <w:szCs w:val="40"/>
                <w:lang w:eastAsia="zh-CN"/>
              </w:rPr>
              <w:t>商务局</w:t>
            </w:r>
          </w:p>
        </w:tc>
        <w:tc>
          <w:tcPr>
            <w:tcW w:w="1671" w:type="dxa"/>
            <w:vMerge w:val="continue"/>
            <w:tcBorders>
              <w:tl2br w:val="nil"/>
              <w:tr2bl w:val="nil"/>
            </w:tcBorders>
          </w:tcPr>
          <w:p>
            <w:pPr>
              <w:spacing w:line="1000" w:lineRule="exact"/>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69" w:type="dxa"/>
            <w:tcBorders>
              <w:tl2br w:val="nil"/>
              <w:tr2bl w:val="nil"/>
            </w:tcBorders>
          </w:tcPr>
          <w:p>
            <w:pPr>
              <w:jc w:val="distribute"/>
              <w:rPr>
                <w:rFonts w:hint="eastAsia" w:ascii="方正小标宋简体" w:hAnsi="方正小标宋简体" w:eastAsia="方正小标宋简体" w:cs="方正小标宋简体"/>
                <w:color w:val="FF0000"/>
                <w:spacing w:val="-51"/>
                <w:w w:val="75"/>
                <w:sz w:val="40"/>
                <w:szCs w:val="40"/>
                <w:lang w:eastAsia="zh-CN"/>
              </w:rPr>
            </w:pPr>
            <w:r>
              <w:rPr>
                <w:rFonts w:hint="eastAsia" w:ascii="方正小标宋简体" w:hAnsi="方正小标宋简体" w:eastAsia="方正小标宋简体" w:cs="方正小标宋简体"/>
                <w:color w:val="FF0000"/>
                <w:spacing w:val="-51"/>
                <w:w w:val="75"/>
                <w:sz w:val="40"/>
                <w:szCs w:val="40"/>
                <w:lang w:eastAsia="zh-CN"/>
              </w:rPr>
              <w:t>鄂尔多斯市</w:t>
            </w:r>
            <w:r>
              <w:rPr>
                <w:rFonts w:hint="eastAsia" w:ascii="方正小标宋简体" w:hAnsi="方正小标宋简体" w:eastAsia="方正小标宋简体" w:cs="方正小标宋简体"/>
                <w:color w:val="FF0000"/>
                <w:spacing w:val="-51"/>
                <w:w w:val="75"/>
                <w:sz w:val="40"/>
                <w:szCs w:val="40"/>
                <w:lang w:val="en-US" w:eastAsia="zh-CN"/>
              </w:rPr>
              <w:t>东胜区</w:t>
            </w:r>
            <w:r>
              <w:rPr>
                <w:rFonts w:hint="eastAsia" w:ascii="方正小标宋简体" w:hAnsi="方正小标宋简体" w:eastAsia="方正小标宋简体" w:cs="方正小标宋简体"/>
                <w:color w:val="FF0000"/>
                <w:spacing w:val="-51"/>
                <w:w w:val="75"/>
                <w:sz w:val="40"/>
                <w:szCs w:val="40"/>
                <w:lang w:eastAsia="zh-CN"/>
              </w:rPr>
              <w:t>文化和旅游局</w:t>
            </w:r>
          </w:p>
        </w:tc>
        <w:tc>
          <w:tcPr>
            <w:tcW w:w="1671" w:type="dxa"/>
            <w:vMerge w:val="continue"/>
            <w:tcBorders>
              <w:tl2br w:val="nil"/>
              <w:tr2bl w:val="nil"/>
            </w:tcBorders>
          </w:tcPr>
          <w:p>
            <w:pPr>
              <w:spacing w:line="1000" w:lineRule="exact"/>
              <w:rPr>
                <w:sz w:val="18"/>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569" w:type="dxa"/>
            <w:tcBorders>
              <w:tl2br w:val="nil"/>
              <w:tr2bl w:val="nil"/>
            </w:tcBorders>
            <w:vAlign w:val="center"/>
          </w:tcPr>
          <w:p>
            <w:pPr>
              <w:jc w:val="distribute"/>
              <w:rPr>
                <w:rFonts w:hint="eastAsia" w:ascii="方正小标宋简体" w:hAnsi="方正小标宋简体" w:eastAsia="方正小标宋简体" w:cs="方正小标宋简体"/>
                <w:color w:val="FF0000"/>
                <w:w w:val="75"/>
                <w:sz w:val="40"/>
                <w:szCs w:val="40"/>
                <w:lang w:eastAsia="zh-CN"/>
              </w:rPr>
            </w:pPr>
            <w:r>
              <w:rPr>
                <w:rFonts w:hint="eastAsia" w:ascii="方正小标宋简体" w:hAnsi="方正小标宋简体" w:eastAsia="方正小标宋简体" w:cs="方正小标宋简体"/>
                <w:color w:val="FF0000"/>
                <w:w w:val="75"/>
                <w:sz w:val="40"/>
                <w:szCs w:val="40"/>
              </w:rPr>
              <w:t>鄂尔多斯市</w:t>
            </w:r>
            <w:r>
              <w:rPr>
                <w:rFonts w:hint="eastAsia" w:ascii="方正小标宋简体" w:hAnsi="方正小标宋简体" w:eastAsia="方正小标宋简体" w:cs="方正小标宋简体"/>
                <w:color w:val="FF0000"/>
                <w:w w:val="75"/>
                <w:sz w:val="40"/>
                <w:szCs w:val="40"/>
                <w:lang w:val="en-US" w:eastAsia="zh-CN"/>
              </w:rPr>
              <w:t>东胜区</w:t>
            </w:r>
            <w:r>
              <w:rPr>
                <w:rFonts w:hint="eastAsia" w:ascii="方正小标宋简体" w:hAnsi="方正小标宋简体" w:eastAsia="方正小标宋简体" w:cs="方正小标宋简体"/>
                <w:color w:val="FF0000"/>
                <w:w w:val="75"/>
                <w:sz w:val="40"/>
                <w:szCs w:val="40"/>
                <w:lang w:eastAsia="zh-CN"/>
              </w:rPr>
              <w:t>市场监督管理局</w:t>
            </w:r>
          </w:p>
        </w:tc>
        <w:tc>
          <w:tcPr>
            <w:tcW w:w="1671" w:type="dxa"/>
            <w:vMerge w:val="continue"/>
            <w:tcBorders>
              <w:tl2br w:val="nil"/>
              <w:tr2bl w:val="nil"/>
            </w:tcBorders>
          </w:tcPr>
          <w:p>
            <w:pPr>
              <w:spacing w:line="1000" w:lineRule="exact"/>
              <w:rPr>
                <w:sz w:val="18"/>
                <w:szCs w:val="21"/>
              </w:rPr>
            </w:pPr>
          </w:p>
        </w:tc>
      </w:tr>
    </w:tbl>
    <w:p/>
    <w:p>
      <w:pPr>
        <w:jc w:val="center"/>
        <w:rPr>
          <w:rFonts w:hint="default"/>
          <w:lang w:val="en-US" w:eastAsia="zh-CN"/>
        </w:rPr>
      </w:pPr>
      <w:r>
        <w:rPr>
          <w:rFonts w:hint="eastAsia" w:ascii="仿宋" w:hAnsi="仿宋" w:eastAsia="仿宋"/>
          <w:sz w:val="32"/>
          <w:szCs w:val="32"/>
          <w:lang w:val="en-US" w:eastAsia="zh-CN"/>
        </w:rPr>
        <w:t xml:space="preserve">  东工信科</w:t>
      </w:r>
      <w:r>
        <w:rPr>
          <w:rFonts w:hint="eastAsia" w:ascii="仿宋" w:hAnsi="仿宋" w:eastAsia="仿宋"/>
          <w:sz w:val="32"/>
          <w:szCs w:val="32"/>
          <w:lang w:eastAsia="zh-CN"/>
        </w:rPr>
        <w:t>发</w:t>
      </w:r>
      <w:r>
        <w:rPr>
          <w:rFonts w:hint="eastAsia" w:ascii="仿宋" w:hAnsi="仿宋" w:eastAsia="仿宋"/>
          <w:sz w:val="32"/>
          <w:szCs w:val="32"/>
        </w:rPr>
        <w:t>〔</w:t>
      </w:r>
      <w:r>
        <w:rPr>
          <w:rFonts w:ascii="仿宋" w:hAnsi="仿宋" w:eastAsia="仿宋"/>
          <w:sz w:val="32"/>
          <w:szCs w:val="32"/>
        </w:rPr>
        <w:t>20</w:t>
      </w:r>
      <w:r>
        <w:rPr>
          <w:rFonts w:hint="eastAsia" w:ascii="仿宋" w:hAnsi="仿宋" w:eastAsia="仿宋"/>
          <w:sz w:val="32"/>
          <w:szCs w:val="32"/>
          <w:lang w:val="en-US" w:eastAsia="zh-CN"/>
        </w:rPr>
        <w:t>23</w:t>
      </w:r>
      <w:r>
        <w:rPr>
          <w:rFonts w:ascii="仿宋" w:hAnsi="仿宋" w:eastAsia="仿宋"/>
          <w:sz w:val="32"/>
          <w:szCs w:val="32"/>
        </w:rPr>
        <w:t>〕</w:t>
      </w:r>
      <w:r>
        <w:rPr>
          <w:rFonts w:hint="eastAsia" w:ascii="仿宋" w:hAnsi="仿宋" w:eastAsia="仿宋"/>
          <w:sz w:val="32"/>
          <w:szCs w:val="32"/>
          <w:lang w:val="en-US" w:eastAsia="zh-CN"/>
        </w:rPr>
        <w:t>22</w:t>
      </w:r>
      <w:r>
        <w:rPr>
          <w:rFonts w:ascii="仿宋" w:hAnsi="仿宋" w:eastAsia="仿宋"/>
          <w:sz w:val="32"/>
          <w:szCs w:val="32"/>
        </w:rPr>
        <w:t>号</w:t>
      </w:r>
      <w:r>
        <w:rPr>
          <w:rFonts w:hint="eastAsia" w:ascii="楷体_GB2312" w:hAnsi="仿宋" w:eastAsia="楷体_GB2312"/>
          <w:sz w:val="32"/>
          <w:szCs w:val="32"/>
          <w:lang w:val="en-US" w:eastAsia="zh-CN"/>
        </w:rPr>
        <w:t xml:space="preserve">                 </w:t>
      </w:r>
    </w:p>
    <w:p>
      <w:pPr>
        <w:rPr>
          <w:rFonts w:ascii="仿宋_GB2312" w:hAnsi="方正小标宋简体" w:eastAsia="仿宋_GB2312" w:cs="方正小标宋简体"/>
          <w:sz w:val="32"/>
          <w:szCs w:val="4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55245</wp:posOffset>
                </wp:positionV>
                <wp:extent cx="5897880" cy="508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897880" cy="508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15pt;margin-top:4.35pt;height:0.4pt;width:464.4pt;z-index:251659264;mso-width-relative:page;mso-height-relative:page;" filled="f" stroked="t" coordsize="21600,21600" o:gfxdata="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WWSw1wAAAAcBAAAPAAAAAAAAAAEAIAAAACIAAABkcnMvZG93&#10;bnJldi54bWxQSwECFAAUAAAACACHTuJAbojhcQECAADwAwAADgAAAAAAAAABACAAAAAmAQAAZHJz&#10;L2Uyb0RvYy54bWxQSwUGAAAAAAYABgBZAQAAmQUAAAAA&#10;">
                <v:fill on="f" focussize="0,0"/>
                <v:stroke weight="2pt" color="#FF0000" joinstyle="round"/>
                <v:imagedata o:title=""/>
                <o:lock v:ext="edit" aspectratio="f"/>
              </v:shape>
            </w:pict>
          </mc:Fallback>
        </mc:AlternateConten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Times New Roman"/>
          <w:b w:val="0"/>
          <w:bCs w:val="0"/>
          <w:i w:val="0"/>
          <w:iCs w:val="0"/>
          <w:caps w:val="0"/>
          <w:color w:val="auto"/>
          <w:spacing w:val="0"/>
          <w:sz w:val="44"/>
          <w:szCs w:val="44"/>
          <w:shd w:val="clear" w:fill="FFFFFF"/>
          <w:lang w:eastAsia="zh-CN"/>
        </w:rPr>
      </w:pPr>
      <w:r>
        <w:rPr>
          <w:rFonts w:hint="eastAsia" w:ascii="Times New Roman" w:hAnsi="Times New Roman" w:eastAsia="方正小标宋简体" w:cs="Times New Roman"/>
          <w:b w:val="0"/>
          <w:bCs w:val="0"/>
          <w:i w:val="0"/>
          <w:iCs w:val="0"/>
          <w:caps w:val="0"/>
          <w:color w:val="auto"/>
          <w:spacing w:val="0"/>
          <w:sz w:val="44"/>
          <w:szCs w:val="44"/>
          <w:shd w:val="clear" w:fill="FFFFFF"/>
          <w:lang w:val="en-US" w:eastAsia="zh-CN"/>
        </w:rPr>
        <w:t>鄂尔多斯市</w:t>
      </w:r>
      <w:r>
        <w:rPr>
          <w:rFonts w:hint="eastAsia" w:ascii="Times New Roman" w:hAnsi="Times New Roman" w:eastAsia="方正小标宋简体" w:cs="Times New Roman"/>
          <w:b w:val="0"/>
          <w:bCs w:val="0"/>
          <w:i w:val="0"/>
          <w:iCs w:val="0"/>
          <w:caps w:val="0"/>
          <w:color w:val="auto"/>
          <w:spacing w:val="0"/>
          <w:sz w:val="44"/>
          <w:szCs w:val="44"/>
          <w:shd w:val="clear" w:fill="FFFFFF"/>
          <w:lang w:eastAsia="zh-CN"/>
        </w:rPr>
        <w:t>东胜区工信和科技局等九部门关于</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i w:val="0"/>
          <w:iCs w:val="0"/>
          <w:caps w:val="0"/>
          <w:color w:val="auto"/>
          <w:spacing w:val="0"/>
          <w:sz w:val="44"/>
          <w:szCs w:val="44"/>
          <w:shd w:val="clear" w:fill="FFFFFF"/>
        </w:rPr>
      </w:pPr>
      <w:r>
        <w:rPr>
          <w:rFonts w:hint="eastAsia" w:ascii="Times New Roman" w:hAnsi="Times New Roman" w:eastAsia="方正小标宋简体" w:cs="Times New Roman"/>
          <w:b w:val="0"/>
          <w:bCs w:val="0"/>
          <w:i w:val="0"/>
          <w:iCs w:val="0"/>
          <w:caps w:val="0"/>
          <w:color w:val="auto"/>
          <w:spacing w:val="0"/>
          <w:sz w:val="44"/>
          <w:szCs w:val="44"/>
          <w:shd w:val="clear" w:fill="FFFFFF"/>
          <w:lang w:eastAsia="zh-CN"/>
        </w:rPr>
        <w:t>印发东胜区</w:t>
      </w:r>
      <w:r>
        <w:rPr>
          <w:rFonts w:hint="default" w:ascii="Times New Roman" w:hAnsi="Times New Roman" w:eastAsia="方正小标宋简体" w:cs="Times New Roman"/>
          <w:b w:val="0"/>
          <w:bCs w:val="0"/>
          <w:i w:val="0"/>
          <w:iCs w:val="0"/>
          <w:caps w:val="0"/>
          <w:color w:val="auto"/>
          <w:spacing w:val="0"/>
          <w:sz w:val="44"/>
          <w:szCs w:val="44"/>
          <w:shd w:val="clear" w:fill="FFFFFF"/>
        </w:rPr>
        <w:t>地区传统优势食品产区</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i w:val="0"/>
          <w:iCs w:val="0"/>
          <w:caps w:val="0"/>
          <w:color w:val="auto"/>
          <w:spacing w:val="0"/>
          <w:sz w:val="44"/>
          <w:szCs w:val="44"/>
          <w:shd w:val="clear" w:fill="FFFFFF"/>
        </w:rPr>
      </w:pPr>
      <w:r>
        <w:rPr>
          <w:rFonts w:hint="default" w:ascii="Times New Roman" w:hAnsi="Times New Roman" w:eastAsia="方正小标宋简体" w:cs="Times New Roman"/>
          <w:b w:val="0"/>
          <w:bCs w:val="0"/>
          <w:i w:val="0"/>
          <w:iCs w:val="0"/>
          <w:caps w:val="0"/>
          <w:color w:val="auto"/>
          <w:spacing w:val="0"/>
          <w:sz w:val="44"/>
          <w:szCs w:val="44"/>
          <w:shd w:val="clear" w:fill="FFFFFF"/>
        </w:rPr>
        <w:t>和地方特色食品产业培育方案</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Times New Roman" w:hAnsi="Times New Roman" w:eastAsia="方正小标宋简体" w:cs="Times New Roman"/>
          <w:b w:val="0"/>
          <w:bCs w:val="0"/>
          <w:i w:val="0"/>
          <w:iCs w:val="0"/>
          <w:caps w:val="0"/>
          <w:color w:val="auto"/>
          <w:spacing w:val="0"/>
          <w:sz w:val="44"/>
          <w:szCs w:val="44"/>
          <w:shd w:val="clear" w:fill="FFFFFF"/>
          <w:lang w:eastAsia="zh-CN"/>
        </w:rPr>
      </w:pPr>
      <w:r>
        <w:rPr>
          <w:rFonts w:hint="eastAsia" w:ascii="Times New Roman" w:hAnsi="Times New Roman" w:eastAsia="方正小标宋简体" w:cs="Times New Roman"/>
          <w:b w:val="0"/>
          <w:bCs w:val="0"/>
          <w:i w:val="0"/>
          <w:iCs w:val="0"/>
          <w:caps w:val="0"/>
          <w:color w:val="auto"/>
          <w:spacing w:val="0"/>
          <w:sz w:val="44"/>
          <w:szCs w:val="44"/>
          <w:shd w:val="clear" w:fill="FFFFFF"/>
          <w:lang w:eastAsia="zh-CN"/>
        </w:rPr>
        <w:t>（</w:t>
      </w:r>
      <w:r>
        <w:rPr>
          <w:rFonts w:hint="default" w:ascii="Times New Roman" w:hAnsi="Times New Roman" w:eastAsia="方正小标宋简体" w:cs="Times New Roman"/>
          <w:b w:val="0"/>
          <w:bCs w:val="0"/>
          <w:i w:val="0"/>
          <w:iCs w:val="0"/>
          <w:caps w:val="0"/>
          <w:color w:val="auto"/>
          <w:spacing w:val="0"/>
          <w:sz w:val="44"/>
          <w:szCs w:val="44"/>
          <w:shd w:val="clear" w:fill="FFFFFF"/>
        </w:rPr>
        <w:t>2023</w:t>
      </w:r>
      <w:r>
        <w:rPr>
          <w:rFonts w:hint="eastAsia" w:ascii="Times New Roman" w:hAnsi="Times New Roman" w:eastAsia="方正小标宋简体" w:cs="Times New Roman"/>
          <w:b w:val="0"/>
          <w:bCs w:val="0"/>
          <w:i w:val="0"/>
          <w:iCs w:val="0"/>
          <w:caps w:val="0"/>
          <w:color w:val="auto"/>
          <w:spacing w:val="0"/>
          <w:sz w:val="44"/>
          <w:szCs w:val="44"/>
          <w:shd w:val="clear" w:fill="FFFFFF"/>
          <w:lang w:eastAsia="zh-CN"/>
        </w:rPr>
        <w:t>—</w:t>
      </w:r>
      <w:r>
        <w:rPr>
          <w:rFonts w:hint="default" w:ascii="Times New Roman" w:hAnsi="Times New Roman" w:eastAsia="方正小标宋简体" w:cs="Times New Roman"/>
          <w:b w:val="0"/>
          <w:bCs w:val="0"/>
          <w:i w:val="0"/>
          <w:iCs w:val="0"/>
          <w:caps w:val="0"/>
          <w:color w:val="auto"/>
          <w:spacing w:val="0"/>
          <w:sz w:val="44"/>
          <w:szCs w:val="44"/>
          <w:shd w:val="clear" w:fill="FFFFFF"/>
        </w:rPr>
        <w:t>2025年</w:t>
      </w:r>
      <w:r>
        <w:rPr>
          <w:rFonts w:hint="eastAsia" w:ascii="Times New Roman" w:hAnsi="Times New Roman" w:eastAsia="方正小标宋简体" w:cs="Times New Roman"/>
          <w:b w:val="0"/>
          <w:bCs w:val="0"/>
          <w:i w:val="0"/>
          <w:iCs w:val="0"/>
          <w:caps w:val="0"/>
          <w:color w:val="auto"/>
          <w:spacing w:val="0"/>
          <w:sz w:val="44"/>
          <w:szCs w:val="44"/>
          <w:shd w:val="clear" w:fill="FFFFFF"/>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rPr>
          <w:rFonts w:ascii="仿宋_GB2312" w:hAnsi="方正小标宋简体" w:eastAsia="仿宋_GB2312" w:cs="方正小标宋简体"/>
          <w:sz w:val="32"/>
          <w:szCs w:val="44"/>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各镇、街道办事处、相关部门：</w:t>
      </w:r>
    </w:p>
    <w:p>
      <w:pPr>
        <w:keepNext w:val="0"/>
        <w:keepLines w:val="0"/>
        <w:pageBreakBefore w:val="0"/>
        <w:widowControl w:val="0"/>
        <w:kinsoku/>
        <w:wordWrap/>
        <w:overflowPunct/>
        <w:topLinePunct w:val="0"/>
        <w:autoSpaceDE/>
        <w:autoSpaceDN/>
        <w:bidi w:val="0"/>
        <w:adjustRightInd/>
        <w:snapToGrid/>
        <w:spacing w:before="0" w:beforeAutospacing="0" w:afterAutospacing="0"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现将《鄂尔多斯市东胜区地区传统优势食品产区和地方特色食品产业培育方案（2023—2025年）》印发给你们，请结合实际，认真贯彻执行。</w:t>
      </w:r>
    </w:p>
    <w:p>
      <w:pPr>
        <w:pStyle w:val="2"/>
        <w:keepNext w:val="0"/>
        <w:keepLines w:val="0"/>
        <w:pageBreakBefore w:val="0"/>
        <w:widowControl w:val="0"/>
        <w:kinsoku/>
        <w:wordWrap/>
        <w:overflowPunct/>
        <w:topLinePunct w:val="0"/>
        <w:autoSpaceDE/>
        <w:autoSpaceDN/>
        <w:bidi w:val="0"/>
        <w:adjustRightInd/>
        <w:snapToGrid/>
        <w:spacing w:after="0" w:line="560" w:lineRule="exact"/>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鄂尔多斯市东胜区工信和科技局  鄂尔多斯市东胜区发展和改革委员会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鄂尔多斯市东胜区市场监督管理局  鄂尔多斯市东胜区财政局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鄂尔多斯市生态环境局东胜区分局   鄂尔多斯市东胜区交通运输局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鄂尔多斯市东胜区农牧局    鄂尔多斯市东胜区商务局</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 xml:space="preserve">鄂尔多斯市东胜区文化和旅游局      </w:t>
      </w:r>
    </w:p>
    <w:p>
      <w:pPr>
        <w:pStyle w:val="2"/>
        <w:keepNext w:val="0"/>
        <w:keepLines w:val="0"/>
        <w:pageBreakBefore w:val="0"/>
        <w:wordWrap/>
        <w:overflowPunct/>
        <w:topLinePunct w:val="0"/>
        <w:bidi w:val="0"/>
        <w:spacing w:line="560" w:lineRule="exact"/>
        <w:rPr>
          <w:rFonts w:hint="eastAsia" w:ascii="仿宋_GB2312" w:hAnsi="仿宋_GB2312" w:eastAsia="仿宋_GB2312" w:cs="仿宋_GB2312"/>
          <w:color w:val="auto"/>
          <w:spacing w:val="-20"/>
          <w:sz w:val="32"/>
          <w:szCs w:val="32"/>
          <w:lang w:val="en-US" w:eastAsia="zh-CN"/>
        </w:rPr>
      </w:pPr>
      <w:r>
        <w:rPr>
          <w:rFonts w:hint="eastAsia" w:ascii="仿宋_GB2312" w:hAnsi="仿宋_GB2312" w:eastAsia="仿宋_GB2312" w:cs="仿宋_GB2312"/>
          <w:color w:val="auto"/>
          <w:spacing w:val="-20"/>
          <w:sz w:val="32"/>
          <w:szCs w:val="32"/>
          <w:lang w:val="en-US" w:eastAsia="zh-CN"/>
        </w:rPr>
        <w:t xml:space="preserve">  2023年11月15日</w:t>
      </w:r>
    </w:p>
    <w:p>
      <w:pPr>
        <w:pStyle w:val="2"/>
        <w:keepNext w:val="0"/>
        <w:keepLines w:val="0"/>
        <w:pageBreakBefore w:val="0"/>
        <w:wordWrap/>
        <w:overflowPunct/>
        <w:topLinePunct w:val="0"/>
        <w:bidi w:val="0"/>
        <w:spacing w:line="560" w:lineRule="exact"/>
        <w:rPr>
          <w:rFonts w:hint="default" w:ascii="仿宋_GB2312" w:hAnsi="仿宋_GB2312" w:eastAsia="仿宋_GB2312" w:cs="仿宋_GB2312"/>
          <w:color w:val="auto"/>
          <w:spacing w:val="-20"/>
          <w:sz w:val="32"/>
          <w:szCs w:val="32"/>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iCs w:val="0"/>
          <w:caps w:val="0"/>
          <w:color w:val="auto"/>
          <w:spacing w:val="0"/>
          <w:sz w:val="36"/>
          <w:szCs w:val="36"/>
          <w:shd w:val="clear" w:fill="FFFFFF"/>
        </w:rPr>
      </w:pPr>
      <w:r>
        <w:rPr>
          <w:rFonts w:hint="eastAsia" w:ascii="方正小标宋简体" w:hAnsi="方正小标宋简体" w:eastAsia="方正小标宋简体" w:cs="方正小标宋简体"/>
          <w:b w:val="0"/>
          <w:bCs w:val="0"/>
          <w:i w:val="0"/>
          <w:iCs w:val="0"/>
          <w:caps w:val="0"/>
          <w:color w:val="auto"/>
          <w:spacing w:val="0"/>
          <w:sz w:val="36"/>
          <w:szCs w:val="36"/>
          <w:shd w:val="clear" w:fill="FFFFFF"/>
          <w:lang w:eastAsia="zh-CN"/>
        </w:rPr>
        <w:t>东胜</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lang w:val="en-US" w:eastAsia="zh-CN"/>
        </w:rPr>
        <w:t>区</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rPr>
        <w:t>地区传统优势食品产区和</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i w:val="0"/>
          <w:iCs w:val="0"/>
          <w:caps w:val="0"/>
          <w:color w:val="auto"/>
          <w:spacing w:val="0"/>
          <w:sz w:val="36"/>
          <w:szCs w:val="36"/>
          <w:shd w:val="clear" w:fill="FFFFFF"/>
        </w:rPr>
        <w:t>地方特色食品产业培育方案</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lang w:eastAsia="zh-CN"/>
        </w:rPr>
        <w:t>（</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rPr>
        <w:t>2023</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lang w:eastAsia="zh-CN"/>
        </w:rPr>
        <w:t>—</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rPr>
        <w:t>2025年</w:t>
      </w:r>
      <w:r>
        <w:rPr>
          <w:rFonts w:hint="eastAsia" w:ascii="方正小标宋简体" w:hAnsi="方正小标宋简体" w:eastAsia="方正小标宋简体" w:cs="方正小标宋简体"/>
          <w:b w:val="0"/>
          <w:bCs w:val="0"/>
          <w:i w:val="0"/>
          <w:iCs w:val="0"/>
          <w:caps w:val="0"/>
          <w:color w:val="auto"/>
          <w:spacing w:val="0"/>
          <w:sz w:val="36"/>
          <w:szCs w:val="36"/>
          <w:shd w:val="clear" w:fill="FFFFFF"/>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传统优势食品产区和地方特色食品产业是我国食品工业重要发展载体和关键增长引擎。为深入贯彻党的二十大精神，贯彻落实</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_GB2312" w:hAnsi="仿宋_GB2312" w:eastAsia="仿宋_GB2312" w:cs="仿宋_GB2312"/>
          <w:color w:val="auto"/>
          <w:sz w:val="32"/>
          <w:szCs w:val="32"/>
          <w:lang w:val="en-US" w:eastAsia="zh-CN"/>
        </w:rPr>
        <w:t>鄂尔多斯市工业和信息化局等十一部门关于印发</w:t>
      </w:r>
      <w:r>
        <w:rPr>
          <w:rFonts w:hint="default" w:ascii="仿宋_GB2312" w:hAnsi="仿宋_GB2312" w:eastAsia="仿宋_GB2312" w:cs="仿宋_GB2312"/>
          <w:color w:val="auto"/>
          <w:sz w:val="32"/>
          <w:szCs w:val="32"/>
          <w:lang w:val="en-US" w:eastAsia="zh-CN"/>
        </w:rPr>
        <w:t>鄂尔多斯市地区传统优势食品产区和地方特色食品产业培育方案</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lang w:val="en-US" w:eastAsia="zh-CN"/>
        </w:rPr>
        <w:t>）的通知</w:t>
      </w:r>
      <w:r>
        <w:rPr>
          <w:rFonts w:hint="eastAsia" w:ascii="仿宋_GB2312" w:hAnsi="仿宋_GB2312" w:eastAsia="仿宋_GB2312" w:cs="仿宋_GB2312"/>
          <w:i w:val="0"/>
          <w:caps w:val="0"/>
          <w:color w:val="000000"/>
          <w:spacing w:val="0"/>
          <w:sz w:val="32"/>
          <w:szCs w:val="32"/>
          <w:shd w:val="clear" w:color="auto" w:fill="FFFFFF"/>
          <w:lang w:eastAsia="zh-CN"/>
        </w:rPr>
        <w:t>》（</w:t>
      </w:r>
      <w:r>
        <w:rPr>
          <w:rFonts w:hint="eastAsia" w:ascii="仿宋" w:hAnsi="仿宋" w:eastAsia="仿宋"/>
          <w:sz w:val="32"/>
          <w:szCs w:val="32"/>
        </w:rPr>
        <w:t>鄂工信</w:t>
      </w:r>
      <w:r>
        <w:rPr>
          <w:rFonts w:hint="eastAsia" w:ascii="仿宋" w:hAnsi="仿宋" w:eastAsia="仿宋"/>
          <w:sz w:val="32"/>
          <w:szCs w:val="32"/>
          <w:lang w:eastAsia="zh-CN"/>
        </w:rPr>
        <w:t>发</w:t>
      </w:r>
      <w:r>
        <w:rPr>
          <w:rFonts w:hint="eastAsia" w:ascii="仿宋" w:hAnsi="仿宋" w:eastAsia="仿宋"/>
          <w:sz w:val="32"/>
          <w:szCs w:val="32"/>
        </w:rPr>
        <w:t>〔</w:t>
      </w:r>
      <w:r>
        <w:rPr>
          <w:rFonts w:ascii="仿宋" w:hAnsi="仿宋" w:eastAsia="仿宋"/>
          <w:sz w:val="32"/>
          <w:szCs w:val="32"/>
        </w:rPr>
        <w:t>20</w:t>
      </w:r>
      <w:r>
        <w:rPr>
          <w:rFonts w:hint="eastAsia" w:ascii="仿宋" w:hAnsi="仿宋" w:eastAsia="仿宋"/>
          <w:sz w:val="32"/>
          <w:szCs w:val="32"/>
          <w:lang w:val="en-US" w:eastAsia="zh-CN"/>
        </w:rPr>
        <w:t>23</w:t>
      </w:r>
      <w:r>
        <w:rPr>
          <w:rFonts w:ascii="仿宋" w:hAnsi="仿宋" w:eastAsia="仿宋"/>
          <w:sz w:val="32"/>
          <w:szCs w:val="32"/>
        </w:rPr>
        <w:t>〕</w:t>
      </w:r>
      <w:r>
        <w:rPr>
          <w:rFonts w:hint="eastAsia" w:ascii="仿宋" w:hAnsi="仿宋" w:eastAsia="仿宋"/>
          <w:sz w:val="32"/>
          <w:szCs w:val="32"/>
          <w:lang w:val="en-US" w:eastAsia="zh-CN"/>
        </w:rPr>
        <w:t>186</w:t>
      </w:r>
      <w:r>
        <w:rPr>
          <w:rFonts w:ascii="仿宋" w:hAnsi="仿宋" w:eastAsia="仿宋"/>
          <w:sz w:val="32"/>
          <w:szCs w:val="32"/>
        </w:rPr>
        <w:t>号</w:t>
      </w:r>
      <w:r>
        <w:rPr>
          <w:rFonts w:hint="eastAsia" w:ascii="仿宋_GB2312" w:hAnsi="仿宋_GB2312" w:eastAsia="仿宋_GB2312" w:cs="仿宋_GB2312"/>
          <w:i w:val="0"/>
          <w:caps w:val="0"/>
          <w:color w:val="000000"/>
          <w:spacing w:val="0"/>
          <w:sz w:val="32"/>
          <w:szCs w:val="32"/>
          <w:shd w:val="clear" w:color="auto" w:fill="FFFFFF"/>
          <w:lang w:eastAsia="zh-CN"/>
        </w:rPr>
        <w:t>），加快推动传统优势食品产区和地方特色食品产业发展，培育形成经济发展新动能，助力乡村振兴和共同富裕</w:t>
      </w:r>
      <w:r>
        <w:rPr>
          <w:rFonts w:hint="eastAsia" w:ascii="仿宋_GB2312" w:hAnsi="仿宋_GB2312" w:eastAsia="仿宋_GB2312" w:cs="仿宋_GB2312"/>
          <w:color w:val="auto"/>
          <w:sz w:val="32"/>
          <w:szCs w:val="32"/>
          <w:lang w:val="en-US" w:eastAsia="zh-CN"/>
        </w:rPr>
        <w:t>，结合我区实际，制定本方案。</w:t>
      </w:r>
    </w:p>
    <w:p>
      <w:pPr>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总体要求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5"/>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以习近平新时代中国特色社会主义思想为指导，全面贯彻党的二十大精神，完整、准确、全面贯彻新发展理念，坚持以人民为中心的发展思想，深入实施供给侧结构性改革，立足区域资源禀赋和独特饮食文化，充分释放产业发展潜力，</w:t>
      </w:r>
      <w:r>
        <w:rPr>
          <w:rFonts w:hint="eastAsia" w:ascii="仿宋_GB2312" w:hAnsi="仿宋_GB2312" w:eastAsia="仿宋_GB2312" w:cs="仿宋_GB2312"/>
          <w:kern w:val="2"/>
          <w:sz w:val="32"/>
          <w:szCs w:val="32"/>
          <w:lang w:val="en-US" w:eastAsia="zh-CN" w:bidi="ar-SA"/>
        </w:rPr>
        <w:t>充分发挥市场在资源配置中的决定性作用，助力企业和产业成长壮大，强化食品企业质量安全主体责任，提升全产业链质量安全风险管控能力，在满足人民群众多样化食品消费需求的同时确保“舌尖上的安全”，推动大数据、云计算、物联网、人工智能、5G等数字技术广泛应用，促进食品产业向数字化、智能化广泛发展，</w:t>
      </w:r>
      <w:r>
        <w:rPr>
          <w:rFonts w:hint="eastAsia" w:ascii="仿宋_GB2312" w:hAnsi="仿宋_GB2312" w:eastAsia="仿宋_GB2312" w:cs="仿宋_GB2312"/>
          <w:sz w:val="32"/>
          <w:szCs w:val="32"/>
          <w:lang w:val="en-US" w:eastAsia="zh-CN"/>
        </w:rPr>
        <w:t>推动传统优势食品产区和地方特色食品产业发展</w:t>
      </w:r>
      <w:r>
        <w:rPr>
          <w:rFonts w:hint="eastAsia" w:ascii="仿宋_GB2312" w:hAnsi="仿宋_GB2312" w:eastAsia="仿宋_GB2312" w:cs="仿宋_GB2312"/>
          <w:kern w:val="2"/>
          <w:sz w:val="32"/>
          <w:szCs w:val="32"/>
          <w:lang w:val="en-US" w:eastAsia="zh-CN" w:bidi="ar-SA"/>
        </w:rPr>
        <w:t>。</w:t>
      </w:r>
    </w:p>
    <w:p>
      <w:pPr>
        <w:pStyle w:val="2"/>
        <w:keepNext w:val="0"/>
        <w:keepLines w:val="0"/>
        <w:pageBreakBefore w:val="0"/>
        <w:widowControl w:val="0"/>
        <w:wordWrap/>
        <w:overflowPunct/>
        <w:topLinePunct w:val="0"/>
        <w:bidi w:val="0"/>
        <w:spacing w:after="0" w:line="560" w:lineRule="exact"/>
        <w:ind w:left="0" w:leftChars="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二、主要目标</w:t>
      </w:r>
    </w:p>
    <w:p>
      <w:pPr>
        <w:pStyle w:val="2"/>
        <w:keepNext w:val="0"/>
        <w:keepLines w:val="0"/>
        <w:pageBreakBefore w:val="0"/>
        <w:widowControl w:val="0"/>
        <w:kinsoku w:val="0"/>
        <w:wordWrap/>
        <w:overflowPunct/>
        <w:topLinePunct w:val="0"/>
        <w:autoSpaceDE w:val="0"/>
        <w:autoSpaceDN w:val="0"/>
        <w:bidi w:val="0"/>
        <w:adjustRightInd w:val="0"/>
        <w:snapToGrid w:val="0"/>
        <w:spacing w:after="0" w:line="560" w:lineRule="exact"/>
        <w:ind w:left="0" w:leftChars="0" w:firstLine="640" w:firstLineChars="200"/>
        <w:jc w:val="both"/>
        <w:textAlignment w:val="baseline"/>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强化推动传统优势食品产区生产有序、市场稳定。强化推动地方特色食品产业规模化、生产标准化、技术现代化、产品品牌化发展，基本建成标准化水平硬、科技含量高、生产加工能力强、市场竞争力突出的地方特色食品产业体系。力争到2025年，培育涵盖生产、加工、冷链、仓储、流通、营销等环节的地方特色食品产业示范企业1个以上；特色农业品牌达60个；培育龙头企业达到100家，激发东胜区地方特色食品产业高质量发展新活力。</w:t>
      </w:r>
    </w:p>
    <w:p>
      <w:pPr>
        <w:pStyle w:val="2"/>
        <w:keepNext w:val="0"/>
        <w:keepLines w:val="0"/>
        <w:pageBreakBefore w:val="0"/>
        <w:widowControl w:val="0"/>
        <w:wordWrap/>
        <w:overflowPunct/>
        <w:topLinePunct w:val="0"/>
        <w:bidi w:val="0"/>
        <w:spacing w:after="0" w:line="560" w:lineRule="exact"/>
        <w:ind w:left="0" w:leftChars="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三、重点任务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（一）打造传统优势食品产区。</w:t>
      </w:r>
      <w:r>
        <w:rPr>
          <w:rFonts w:hint="eastAsia" w:ascii="仿宋_GB2312" w:hAnsi="仿宋_GB2312" w:eastAsia="仿宋_GB2312" w:cs="仿宋_GB2312"/>
          <w:b w:val="0"/>
          <w:bCs w:val="0"/>
          <w:kern w:val="2"/>
          <w:sz w:val="32"/>
          <w:szCs w:val="32"/>
          <w:lang w:val="en-US" w:eastAsia="zh-CN" w:bidi="ar-SA"/>
        </w:rPr>
        <w:t>立足我区传统优势食品资源禀赋优势，做强做优肉羊、肉牛、生乳、粮食产业，推动肉羊、肉牛、生乳等就近精深加工，支持食品加工企业发展精深加工，不断延伸产业链、提升价值链，大力发展牛羊肉精细分割、冷鲜肉加工、熟食制作，促进“运畜”向“运肉”转变。鼓励乳制品企业更新设备、提升技术、开发新产品、开拓区外市场。鼓励企业产品创新、食品研发，发展预制菜肴、脱水蔬菜、即时小吃等，提高产品附加值。力争到2025年初步形成品质优、效益高、带动强的乡村产业发展格局。（发改委、工科局、农牧局、市场监督管理局按职责分工负责）</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kern w:val="2"/>
          <w:sz w:val="32"/>
          <w:szCs w:val="32"/>
          <w:lang w:val="en-US" w:eastAsia="zh-CN" w:bidi="ar-SA"/>
        </w:rPr>
        <w:t>（二）培育</w:t>
      </w:r>
      <w:r>
        <w:rPr>
          <w:rFonts w:hint="eastAsia" w:ascii="楷体" w:hAnsi="楷体" w:eastAsia="楷体" w:cs="楷体"/>
          <w:b/>
          <w:bCs/>
          <w:sz w:val="32"/>
          <w:szCs w:val="32"/>
          <w:lang w:val="en-US" w:eastAsia="zh-CN"/>
        </w:rPr>
        <w:t>地方特色食品产业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建设</w:t>
      </w:r>
      <w:r>
        <w:rPr>
          <w:rFonts w:hint="eastAsia" w:ascii="仿宋_GB2312" w:hAnsi="仿宋_GB2312" w:eastAsia="仿宋_GB2312" w:cs="仿宋_GB2312"/>
          <w:b/>
          <w:bCs/>
          <w:sz w:val="32"/>
          <w:szCs w:val="32"/>
          <w:lang w:val="en-US" w:eastAsia="zh-CN"/>
        </w:rPr>
        <w:t>地方特色食品产业</w:t>
      </w:r>
      <w:r>
        <w:rPr>
          <w:rFonts w:hint="eastAsia" w:ascii="仿宋_GB2312" w:hAnsi="仿宋_GB2312" w:eastAsia="仿宋_GB2312" w:cs="仿宋_GB2312"/>
          <w:b/>
          <w:bCs/>
          <w:sz w:val="32"/>
          <w:szCs w:val="32"/>
        </w:rPr>
        <w:t>生产基地。</w:t>
      </w:r>
      <w:r>
        <w:rPr>
          <w:rFonts w:hint="eastAsia" w:ascii="仿宋_GB2312" w:hAnsi="仿宋_GB2312" w:eastAsia="仿宋_GB2312" w:cs="仿宋_GB2312"/>
          <w:b w:val="0"/>
          <w:bCs w:val="0"/>
          <w:kern w:val="2"/>
          <w:sz w:val="32"/>
          <w:szCs w:val="32"/>
          <w:lang w:val="en-US" w:eastAsia="zh-CN" w:bidi="ar-SA"/>
        </w:rPr>
        <w:t>立足我区优势特色产业，将联农增收致富作为出发点，以产出效益稳步提升作为目标，建设、提升一批绿色化、规模化、现代化、标准化的农畜产品原料基地，强化</w:t>
      </w:r>
      <w:r>
        <w:rPr>
          <w:rFonts w:hint="eastAsia" w:ascii="仿宋_GB2312" w:hAnsi="仿宋_GB2312" w:eastAsia="仿宋_GB2312" w:cs="仿宋_GB2312"/>
          <w:sz w:val="32"/>
          <w:szCs w:val="32"/>
        </w:rPr>
        <w:t>土壤镉等重金属污染源头防治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kern w:val="2"/>
          <w:sz w:val="32"/>
          <w:szCs w:val="32"/>
          <w:lang w:val="en-US" w:eastAsia="zh-CN" w:bidi="ar-SA"/>
        </w:rPr>
        <w:t>为地方特色食品产业</w:t>
      </w:r>
      <w:bookmarkStart w:id="0" w:name="_GoBack"/>
      <w:bookmarkEnd w:id="0"/>
      <w:r>
        <w:rPr>
          <w:rFonts w:hint="eastAsia" w:ascii="仿宋_GB2312" w:hAnsi="仿宋_GB2312" w:eastAsia="仿宋_GB2312" w:cs="仿宋_GB2312"/>
          <w:b w:val="0"/>
          <w:bCs w:val="0"/>
          <w:kern w:val="2"/>
          <w:sz w:val="32"/>
          <w:szCs w:val="32"/>
          <w:lang w:val="en-US" w:eastAsia="zh-CN" w:bidi="ar-SA"/>
        </w:rPr>
        <w:t>链提供前端原料支撑。（农牧局、市场监督管理局、</w:t>
      </w:r>
      <w:r>
        <w:rPr>
          <w:rFonts w:hint="eastAsia" w:ascii="仿宋_GB2312" w:hAnsi="仿宋_GB2312" w:eastAsia="仿宋_GB2312" w:cs="仿宋_GB2312"/>
          <w:sz w:val="32"/>
          <w:szCs w:val="32"/>
        </w:rPr>
        <w:t>生态环境局</w:t>
      </w:r>
      <w:r>
        <w:rPr>
          <w:rFonts w:hint="eastAsia" w:ascii="仿宋_GB2312" w:hAnsi="仿宋_GB2312" w:eastAsia="仿宋_GB2312" w:cs="仿宋_GB2312"/>
          <w:b w:val="0"/>
          <w:bCs w:val="0"/>
          <w:kern w:val="2"/>
          <w:sz w:val="32"/>
          <w:szCs w:val="32"/>
          <w:lang w:val="en-US" w:eastAsia="zh-CN" w:bidi="ar-SA"/>
        </w:rPr>
        <w:t>按职责分工负责）</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2.培育地方特色食品产业龙头企业和“专精特新”标杆企业。</w:t>
      </w:r>
      <w:r>
        <w:rPr>
          <w:rFonts w:hint="eastAsia" w:ascii="仿宋_GB2312" w:hAnsi="仿宋_GB2312" w:eastAsia="仿宋_GB2312" w:cs="仿宋_GB2312"/>
          <w:b w:val="0"/>
          <w:bCs w:val="0"/>
          <w:kern w:val="2"/>
          <w:sz w:val="32"/>
          <w:szCs w:val="32"/>
          <w:lang w:val="en-US" w:eastAsia="zh-CN" w:bidi="ar-SA"/>
        </w:rPr>
        <w:t>积极争取上级政策、资金支持，鼓励企业通过并购重组做大做强；引导创新能力强、产品质量优的地方特色食品产业中小企业发展成为“专精特新”企业。</w:t>
      </w:r>
      <w:r>
        <w:rPr>
          <w:rFonts w:hint="eastAsia" w:ascii="仿宋" w:hAnsi="仿宋" w:eastAsia="仿宋" w:cs="仿宋"/>
          <w:b w:val="0"/>
          <w:bCs w:val="0"/>
          <w:color w:val="000000"/>
          <w:kern w:val="0"/>
          <w:sz w:val="32"/>
          <w:szCs w:val="32"/>
          <w:lang w:eastAsia="zh-CN"/>
        </w:rPr>
        <w:t>加大对龙头企业的扶持力度，在技术升级改造、产品研发、品牌培育等方面进行扶持引导，逐步实现龙头企业发展由数量向质量提升转变。积极推荐申报国家级、自治区级重点龙头企业评选认定。</w:t>
      </w:r>
      <w:r>
        <w:rPr>
          <w:rFonts w:hint="eastAsia" w:ascii="仿宋_GB2312" w:hAnsi="仿宋_GB2312" w:eastAsia="仿宋_GB2312" w:cs="仿宋_GB2312"/>
          <w:b w:val="0"/>
          <w:bCs w:val="0"/>
          <w:kern w:val="2"/>
          <w:sz w:val="32"/>
          <w:szCs w:val="32"/>
          <w:lang w:val="en-US" w:eastAsia="zh-CN" w:bidi="ar-SA"/>
        </w:rPr>
        <w:t>（工科局、财政局、农牧局按职责分工负责）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3.聚力推动地方特色食品产业研发平台建设。</w:t>
      </w:r>
      <w:r>
        <w:rPr>
          <w:rFonts w:hint="eastAsia" w:ascii="仿宋_GB2312" w:hAnsi="仿宋_GB2312" w:eastAsia="仿宋_GB2312" w:cs="仿宋_GB2312"/>
          <w:b w:val="0"/>
          <w:bCs w:val="0"/>
          <w:kern w:val="2"/>
          <w:sz w:val="32"/>
          <w:szCs w:val="32"/>
          <w:lang w:val="en-US" w:eastAsia="zh-CN" w:bidi="ar-SA"/>
        </w:rPr>
        <w:t>依托全国蔬菜质量标准中心、全国畜禽屠宰质量标准创新中心、内蒙古农业大学食品科学院等国内省内研学平台，鼓励地方特色食品产业相关企业自建研发平台，加强技术成果转化，攻关地方特色食品产业生产关键技术，提升地方特色食品产业企业核心竞争力。（工科局、市场监督管理局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4.提高地方特色食品产业智能化自动化生产水平。</w:t>
      </w:r>
      <w:r>
        <w:rPr>
          <w:rFonts w:hint="eastAsia" w:ascii="仿宋_GB2312" w:hAnsi="仿宋_GB2312" w:eastAsia="仿宋_GB2312" w:cs="仿宋_GB2312"/>
          <w:b w:val="0"/>
          <w:bCs w:val="0"/>
          <w:kern w:val="2"/>
          <w:sz w:val="32"/>
          <w:szCs w:val="32"/>
          <w:lang w:val="en-US" w:eastAsia="zh-CN" w:bidi="ar-SA"/>
        </w:rPr>
        <w:t>鼓励和支持地方特色食品产业企业与高等院校、科研院所深入合作，共同开展智能化、自动化、标准化生产工艺与设备研发，实施数字车间、智能工厂改造，推动原料清洗、解冻、切配、剥壳、脱毛、搅拌、烹炸、加热、包装等环节机械化、自动化、数字化升级，提高地方特色食品产业企业生产效率和品控能力。整合地方特色食品产业种养、加工、销售、运输、存储等各环节的数字资源，探索构建集地方特色食品产业生产加工、安全监管、产业服务为一体的大数据中心，提升数字化管理水平。力争到2025年底，地方特色食品产业企业自动化水平达60%以上。（发改委、工科局、农牧局、商务局、交通运输局、市场监督管理局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5.建立健全仓储冷链物流体系。</w:t>
      </w:r>
      <w:r>
        <w:rPr>
          <w:rFonts w:hint="eastAsia" w:ascii="仿宋_GB2312" w:hAnsi="仿宋_GB2312" w:eastAsia="仿宋_GB2312" w:cs="仿宋_GB2312"/>
          <w:b w:val="0"/>
          <w:bCs w:val="0"/>
          <w:kern w:val="2"/>
          <w:sz w:val="32"/>
          <w:szCs w:val="32"/>
          <w:lang w:val="en-US" w:eastAsia="zh-CN" w:bidi="ar-SA"/>
        </w:rPr>
        <w:t>依托市、旗区物流体系，建设符合地方特色食品产业标准的智能化冷库区、常温库区，保障优化冷藏、速冻、常温等冷链仓储服务供给，打造集低温加工、仓储保鲜、冷链配送于一体的冷链物流体系，建立地方特色食品产业从田头到车间到餐桌的全程闭环供应模式；大力引进培育第三方冷链贮运企业，提升冷链保鲜质量，降低冷链物流成本，提升我区冷链物流规模化、集约化、组织化、网络化运行水平。（农牧局、商务局、交通运输局按职责分工负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楷体" w:hAnsi="楷体" w:eastAsia="楷体" w:cs="楷体"/>
          <w:b/>
          <w:bCs/>
          <w:sz w:val="32"/>
          <w:szCs w:val="32"/>
          <w:lang w:val="en-US" w:eastAsia="zh-CN"/>
        </w:rPr>
        <w:t>6.地</w:t>
      </w:r>
      <w:r>
        <w:rPr>
          <w:rFonts w:hint="eastAsia" w:ascii="仿宋_GB2312" w:hAnsi="仿宋_GB2312" w:eastAsia="仿宋_GB2312" w:cs="仿宋_GB2312"/>
          <w:b/>
          <w:bCs/>
          <w:kern w:val="2"/>
          <w:sz w:val="32"/>
          <w:szCs w:val="32"/>
          <w:lang w:val="en-US" w:eastAsia="zh-CN" w:bidi="ar-SA"/>
        </w:rPr>
        <w:t>方特色食品产业</w:t>
      </w:r>
      <w:r>
        <w:rPr>
          <w:rFonts w:hint="eastAsia" w:ascii="楷体" w:hAnsi="楷体" w:eastAsia="楷体" w:cs="楷体"/>
          <w:b/>
          <w:bCs/>
          <w:sz w:val="32"/>
          <w:szCs w:val="32"/>
          <w:lang w:val="en-US" w:eastAsia="zh-CN"/>
        </w:rPr>
        <w:t>市场营销体系建设。</w:t>
      </w:r>
      <w:r>
        <w:rPr>
          <w:rFonts w:hint="eastAsia" w:ascii="仿宋_GB2312" w:hAnsi="仿宋_GB2312" w:eastAsia="仿宋_GB2312" w:cs="仿宋_GB2312"/>
          <w:b w:val="0"/>
          <w:bCs w:val="0"/>
          <w:kern w:val="2"/>
          <w:sz w:val="32"/>
          <w:szCs w:val="32"/>
          <w:lang w:val="en-US" w:eastAsia="zh-CN" w:bidi="ar-SA"/>
        </w:rPr>
        <w:t>依托我区优势特色农畜产品，做强做响蒙纯乳业、蒙歌尔草原牛羊肉等地方标志性品牌；充分挖掘地方特色食品产业涉及的非物质文化遗产、传统手工技艺和餐饮文化，丰富文化特质和内涵，讲好名人、名厨、名菜故事。在传承和保护传统技艺的基础上改进创新，不断迎合各地市场消费需求，打造名片、名品，唱响鄂尔多斯地方特色食品文化品牌。（农牧局、市场监督管理局、文旅局按职责分工负责）</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四、保障措施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（一）加强组织实施。</w:t>
      </w:r>
      <w:r>
        <w:rPr>
          <w:rFonts w:hint="eastAsia" w:ascii="仿宋_GB2312" w:hAnsi="仿宋_GB2312" w:eastAsia="仿宋_GB2312" w:cs="仿宋_GB2312"/>
          <w:b w:val="0"/>
          <w:bCs w:val="0"/>
          <w:kern w:val="2"/>
          <w:sz w:val="32"/>
          <w:szCs w:val="32"/>
          <w:lang w:val="en-US" w:eastAsia="zh-CN" w:bidi="ar-SA"/>
        </w:rPr>
        <w:t>加强部门联动，深入开展传统优势食品产区和地方特色食品产业培育。相关部门主要负责同志要履行第一责任人职责，及时研究解决工作中的重要问题，推进地区传统优势食品产区和地方特色食品产业培育。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（二）强化政策支持。</w:t>
      </w:r>
      <w:r>
        <w:rPr>
          <w:rFonts w:hint="eastAsia" w:ascii="仿宋_GB2312" w:hAnsi="仿宋_GB2312" w:eastAsia="仿宋_GB2312" w:cs="仿宋_GB2312"/>
          <w:b w:val="0"/>
          <w:bCs w:val="0"/>
          <w:kern w:val="2"/>
          <w:sz w:val="32"/>
          <w:szCs w:val="32"/>
          <w:lang w:val="en-US" w:eastAsia="zh-CN" w:bidi="ar-SA"/>
        </w:rPr>
        <w:t>鼓励引导银行业金融机构基于市场化原则针对地方特色食品产业的金融产品和服务，加大对地方特色食品产业等制造业企业的信贷投入力度，满足市场主体中长期资金需求，提升金融服务质效；积极争取上级专项资金，充分利用自治区、市、区级现有资金渠道，持续对地方特色产品生产企业工艺技术提升、加工设备改造等方面进行资金支持。</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113" w:firstLine="646"/>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（三）强化质量安全保障。</w:t>
      </w:r>
      <w:r>
        <w:rPr>
          <w:rFonts w:hint="eastAsia" w:ascii="仿宋_GB2312" w:hAnsi="仿宋_GB2312" w:eastAsia="仿宋_GB2312" w:cs="仿宋_GB2312"/>
          <w:b w:val="0"/>
          <w:bCs w:val="0"/>
          <w:kern w:val="2"/>
          <w:sz w:val="32"/>
          <w:szCs w:val="32"/>
          <w:lang w:val="en-US" w:eastAsia="zh-CN" w:bidi="ar-SA"/>
        </w:rPr>
        <w:t>支持地方特色食品企业建立健全食品安全管理制度。严格供货管理、进货查验、生产过程控制、出厂检验。鼓励企业符合良好生产规范要求，建立ISO22000食品安全管理体系。危害分析与关键控制点（HACCP）体系认证，建设强先进质量管理体系标准宣贯培训。同时加强HACCP认证的监管，加强食品检验检测机构的监管。重点打击虚假报告、不实报告，提供虚假认证材料等违法违规行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（四）加快科技成果转移</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依托人才科创中心，高标准打造“交易、共享、服务、交流、展示”五位一体的科技成果转化平台，为科技成果供给端和需求端精准对接；积极争取国家研发计划项目和自治区科技专项资金，加大成果转化投入和激励力度，充分调动企业自主进行成果转化的积极性，不断促进科技成果转化；大力发展技术转移、创业孵化等科技服务机构。</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楷体" w:hAnsi="楷体" w:eastAsia="楷体" w:cs="楷体"/>
          <w:b/>
          <w:bCs/>
          <w:kern w:val="2"/>
          <w:sz w:val="32"/>
          <w:szCs w:val="32"/>
          <w:lang w:val="en-US" w:eastAsia="zh-CN" w:bidi="ar-SA"/>
        </w:rPr>
        <w:t>（五）强化人才引育。</w:t>
      </w:r>
      <w:r>
        <w:rPr>
          <w:rFonts w:hint="eastAsia" w:ascii="仿宋_GB2312" w:hAnsi="仿宋_GB2312" w:eastAsia="仿宋_GB2312" w:cs="仿宋_GB2312"/>
          <w:b w:val="0"/>
          <w:bCs w:val="0"/>
          <w:kern w:val="2"/>
          <w:sz w:val="32"/>
          <w:szCs w:val="32"/>
          <w:lang w:val="en-US" w:eastAsia="zh-CN" w:bidi="ar-SA"/>
        </w:rPr>
        <w:t>深入实施“科技新政30条”“人才新政30条”，以更加宽松的科研环境、更加优质的事业舞台、更加畅通的沟通渠道，构筑高端科技人才高地，推动人才“外引”和“回流”。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sz w:val="32"/>
          <w:szCs w:val="32"/>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shd w:val="clear" w:fill="FFFFFF"/>
          <w:lang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6"/>
        <w:pageBreakBefore w:val="0"/>
        <w:kinsoku/>
        <w:overflowPunct/>
        <w:topLinePunct w:val="0"/>
        <w:bidi w:val="0"/>
        <w:snapToGrid/>
        <w:spacing w:line="560" w:lineRule="exact"/>
        <w:textAlignment w:val="auto"/>
        <w:rPr>
          <w:rFonts w:hint="default" w:ascii="仿宋" w:hAnsi="仿宋" w:eastAsia="仿宋" w:cs="仿宋"/>
          <w:color w:val="000000"/>
          <w:w w:val="100"/>
          <w:sz w:val="28"/>
          <w:szCs w:val="28"/>
          <w:lang w:val="en-US" w:eastAsia="zh-CN"/>
        </w:rPr>
      </w:pP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outlineLvl w:val="9"/>
        <w:rPr>
          <w:rFonts w:hint="default" w:ascii="Times New Roman" w:hAnsi="Times New Roman" w:eastAsia="仿宋_GB2312" w:cs="Times New Roman"/>
          <w:i w:val="0"/>
          <w:iCs w:val="0"/>
          <w:caps w:val="0"/>
          <w:color w:val="auto"/>
          <w:spacing w:val="0"/>
          <w:sz w:val="32"/>
          <w:szCs w:val="32"/>
          <w:shd w:val="clear" w:fill="FFFFFF"/>
          <w:lang w:eastAsia="zh-CN"/>
        </w:rPr>
      </w:pPr>
      <w:r>
        <w:rPr>
          <w:rFonts w:hint="eastAsia" w:ascii="仿宋_GB2312" w:hAnsi="仿宋_GB2312" w:eastAsia="仿宋_GB2312" w:cs="仿宋_GB2312"/>
          <w:color w:val="00000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12700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15pt;margin-top:1pt;height:0pt;width:451.5pt;z-index:251660288;mso-width-relative:page;mso-height-relative:page;" filled="f" stroked="t" coordsize="21600,21600" o:gfxdata="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lTjjzVAAAABwEAAA8AAAAAAAAAAQAgAAAAIgAAAGRycy9kb3ducmV2LnhtbFBL&#10;AQIUABQAAAAIAIdO4kBIfNRc+QEAAPIDAAAOAAAAAAAAAAEAIAAAACQBAABkcnMvZTJvRG9jLnht&#10;bFBLBQYAAAAABgAGAFkBAACPBQ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w w:val="100"/>
          <w:sz w:val="28"/>
          <w:szCs w:val="28"/>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394335</wp:posOffset>
                </wp:positionV>
                <wp:extent cx="57340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31.05pt;height:0.05pt;width:451.5pt;z-index:251661312;mso-width-relative:page;mso-height-relative:page;" filled="f" stroked="t" coordsize="21600,21600" o:gfxdata="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wvwGdYAAAAJAQAADwAAAAAAAAABACAAAAAiAAAAZHJzL2Rvd25yZXYueG1s&#10;UEsBAhQAFAAAAAgAh07iQNypXcL6AQAA9AMAAA4AAAAAAAAAAQAgAAAAJQEAAGRycy9lMm9Eb2Mu&#10;eG1sUEsFBgAAAAAGAAYAWQEAAJE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w w:val="100"/>
          <w:sz w:val="28"/>
          <w:szCs w:val="28"/>
          <w:lang w:eastAsia="zh-CN"/>
        </w:rPr>
        <w:t>鄂尔多斯市东胜区工信和科技局</w:t>
      </w:r>
      <w:r>
        <w:rPr>
          <w:rFonts w:hint="eastAsia" w:ascii="仿宋_GB2312" w:hAnsi="仿宋_GB2312" w:eastAsia="仿宋_GB2312" w:cs="仿宋_GB2312"/>
          <w:color w:val="000000"/>
          <w:w w:val="100"/>
          <w:sz w:val="28"/>
          <w:szCs w:val="28"/>
        </w:rPr>
        <w:t xml:space="preserve">  </w:t>
      </w:r>
      <w:r>
        <w:rPr>
          <w:rFonts w:hint="eastAsia" w:ascii="仿宋_GB2312" w:hAnsi="仿宋_GB2312" w:eastAsia="仿宋_GB2312" w:cs="仿宋_GB2312"/>
          <w:color w:val="000000"/>
          <w:w w:val="100"/>
          <w:sz w:val="28"/>
          <w:szCs w:val="28"/>
          <w:lang w:val="en-US" w:eastAsia="zh-CN"/>
        </w:rPr>
        <w:t xml:space="preserve">            </w:t>
      </w:r>
      <w:r>
        <w:rPr>
          <w:rFonts w:hint="eastAsia" w:ascii="仿宋_GB2312" w:hAnsi="仿宋_GB2312" w:eastAsia="仿宋_GB2312" w:cs="仿宋_GB2312"/>
          <w:color w:val="000000"/>
          <w:w w:val="100"/>
          <w:sz w:val="28"/>
          <w:szCs w:val="28"/>
        </w:rPr>
        <w:t>20</w:t>
      </w:r>
      <w:r>
        <w:rPr>
          <w:rFonts w:hint="eastAsia" w:ascii="仿宋_GB2312" w:hAnsi="仿宋_GB2312" w:eastAsia="仿宋_GB2312" w:cs="仿宋_GB2312"/>
          <w:color w:val="000000"/>
          <w:w w:val="100"/>
          <w:sz w:val="28"/>
          <w:szCs w:val="28"/>
          <w:lang w:val="en-US" w:eastAsia="zh-CN"/>
        </w:rPr>
        <w:t>23</w:t>
      </w:r>
      <w:r>
        <w:rPr>
          <w:rFonts w:hint="eastAsia" w:ascii="仿宋_GB2312" w:hAnsi="仿宋_GB2312" w:eastAsia="仿宋_GB2312" w:cs="仿宋_GB2312"/>
          <w:color w:val="000000"/>
          <w:w w:val="100"/>
          <w:sz w:val="28"/>
          <w:szCs w:val="28"/>
        </w:rPr>
        <w:t>年</w:t>
      </w:r>
      <w:r>
        <w:rPr>
          <w:rFonts w:hint="eastAsia" w:ascii="仿宋_GB2312" w:hAnsi="仿宋_GB2312" w:eastAsia="仿宋_GB2312" w:cs="仿宋_GB2312"/>
          <w:color w:val="000000"/>
          <w:w w:val="100"/>
          <w:sz w:val="28"/>
          <w:szCs w:val="28"/>
          <w:lang w:val="en-US" w:eastAsia="zh-CN"/>
        </w:rPr>
        <w:t>11</w:t>
      </w:r>
      <w:r>
        <w:rPr>
          <w:rFonts w:hint="eastAsia" w:ascii="仿宋_GB2312" w:hAnsi="仿宋_GB2312" w:eastAsia="仿宋_GB2312" w:cs="仿宋_GB2312"/>
          <w:color w:val="000000"/>
          <w:w w:val="100"/>
          <w:sz w:val="28"/>
          <w:szCs w:val="28"/>
        </w:rPr>
        <w:t>月</w:t>
      </w:r>
      <w:r>
        <w:rPr>
          <w:rFonts w:hint="eastAsia" w:ascii="仿宋_GB2312" w:hAnsi="仿宋_GB2312" w:eastAsia="仿宋_GB2312" w:cs="仿宋_GB2312"/>
          <w:color w:val="000000"/>
          <w:w w:val="100"/>
          <w:sz w:val="28"/>
          <w:szCs w:val="28"/>
          <w:lang w:val="en-US" w:eastAsia="zh-CN"/>
        </w:rPr>
        <w:t>15</w:t>
      </w:r>
      <w:r>
        <w:rPr>
          <w:rFonts w:hint="eastAsia" w:ascii="仿宋_GB2312" w:hAnsi="仿宋_GB2312" w:eastAsia="仿宋_GB2312" w:cs="仿宋_GB2312"/>
          <w:color w:val="000000"/>
          <w:w w:val="100"/>
          <w:sz w:val="28"/>
          <w:szCs w:val="28"/>
        </w:rPr>
        <w:t>日</w:t>
      </w:r>
      <w:r>
        <w:rPr>
          <w:rFonts w:hint="eastAsia" w:ascii="仿宋_GB2312" w:hAnsi="仿宋_GB2312" w:eastAsia="仿宋_GB2312" w:cs="仿宋_GB2312"/>
          <w:color w:val="000000"/>
          <w:w w:val="100"/>
          <w:sz w:val="28"/>
          <w:szCs w:val="28"/>
          <w:lang w:eastAsia="zh-CN"/>
        </w:rPr>
        <w:t>印发</w:t>
      </w:r>
      <w:r>
        <w:rPr>
          <w:rFonts w:hint="eastAsia" w:ascii="仿宋" w:hAnsi="仿宋" w:eastAsia="仿宋" w:cs="仿宋"/>
          <w:b w:val="0"/>
          <w:bCs w:val="0"/>
          <w:snapToGrid/>
          <w:color w:val="000000"/>
          <w:sz w:val="28"/>
          <w:szCs w:val="28"/>
          <w:shd w:val="clear" w:color="auto" w:fill="FFFFFF"/>
          <w:lang w:val="en-US" w:eastAsia="zh-CN"/>
        </w:rPr>
        <w:t xml:space="preserve"> </w:t>
      </w:r>
      <w:r>
        <w:rPr>
          <w:rFonts w:hint="eastAsia" w:ascii="仿宋" w:hAnsi="仿宋" w:eastAsia="仿宋" w:cs="仿宋"/>
          <w:b w:val="0"/>
          <w:bCs w:val="0"/>
          <w:snapToGrid/>
          <w:color w:val="000000"/>
          <w:sz w:val="32"/>
          <w:szCs w:val="32"/>
          <w:shd w:val="clear" w:color="auto" w:fill="FFFFFF"/>
          <w:lang w:val="en-US" w:eastAsia="zh-CN"/>
        </w:rPr>
        <w:t xml:space="preserve">    </w:t>
      </w:r>
    </w:p>
    <w:sectPr>
      <w:pgSz w:w="11906" w:h="16838"/>
      <w:pgMar w:top="1984" w:right="1474"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45EF12F-58D5-4BA3-AF19-9BBCF2B088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C3692DA-A1D1-4605-ACF9-2087ADE0C559}"/>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embedRegular r:id="rId3" w:fontKey="{A19007A3-CFEB-49A5-9B92-834EAAAB41A0}"/>
  </w:font>
  <w:font w:name="仿宋">
    <w:panose1 w:val="02010609060101010101"/>
    <w:charset w:val="86"/>
    <w:family w:val="auto"/>
    <w:pitch w:val="default"/>
    <w:sig w:usb0="800002BF" w:usb1="38CF7CFA" w:usb2="00000016" w:usb3="00000000" w:csb0="00040001" w:csb1="00000000"/>
    <w:embedRegular r:id="rId4" w:fontKey="{98D8944D-B533-4324-8D9A-E54A2EF9134E}"/>
  </w:font>
  <w:font w:name="楷体_GB2312">
    <w:panose1 w:val="02010609030101010101"/>
    <w:charset w:val="86"/>
    <w:family w:val="modern"/>
    <w:pitch w:val="default"/>
    <w:sig w:usb0="00000001" w:usb1="080E0000" w:usb2="00000000" w:usb3="00000000" w:csb0="00040000" w:csb1="00000000"/>
    <w:embedRegular r:id="rId5" w:fontKey="{5BC4EA8C-5113-4A32-9D2C-D5EEEE315215}"/>
  </w:font>
  <w:font w:name="楷体">
    <w:panose1 w:val="02010609060101010101"/>
    <w:charset w:val="86"/>
    <w:family w:val="modern"/>
    <w:pitch w:val="default"/>
    <w:sig w:usb0="800002BF" w:usb1="38CF7CFA" w:usb2="00000016" w:usb3="00000000" w:csb0="00040001" w:csb1="00000000"/>
    <w:embedRegular r:id="rId6" w:fontKey="{37E8523A-D4E2-487D-AEF5-C34E4DA45CF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7FF840"/>
    <w:multiLevelType w:val="singleLevel"/>
    <w:tmpl w:val="FE7FF8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NzI3ZjFhYzY1NWQ3Y2VlM2YyNGE4MjA5MjYxZGEifQ=="/>
  </w:docVars>
  <w:rsids>
    <w:rsidRoot w:val="00172A27"/>
    <w:rsid w:val="00DE6C4C"/>
    <w:rsid w:val="012B6AE6"/>
    <w:rsid w:val="01837355"/>
    <w:rsid w:val="02593931"/>
    <w:rsid w:val="027501C8"/>
    <w:rsid w:val="02F1580B"/>
    <w:rsid w:val="03326BDD"/>
    <w:rsid w:val="03D8775E"/>
    <w:rsid w:val="03EA7157"/>
    <w:rsid w:val="040A362C"/>
    <w:rsid w:val="04A11B3A"/>
    <w:rsid w:val="04A21932"/>
    <w:rsid w:val="04E17669"/>
    <w:rsid w:val="05890154"/>
    <w:rsid w:val="05B044E1"/>
    <w:rsid w:val="06120114"/>
    <w:rsid w:val="077E441C"/>
    <w:rsid w:val="07D875E8"/>
    <w:rsid w:val="093357AF"/>
    <w:rsid w:val="0A1C43A8"/>
    <w:rsid w:val="0A6C2398"/>
    <w:rsid w:val="0B154F09"/>
    <w:rsid w:val="0BB53545"/>
    <w:rsid w:val="0C8778AB"/>
    <w:rsid w:val="0D4C211C"/>
    <w:rsid w:val="0D874B0E"/>
    <w:rsid w:val="0DCF034D"/>
    <w:rsid w:val="0E076E6A"/>
    <w:rsid w:val="0E275FEA"/>
    <w:rsid w:val="0F5F433B"/>
    <w:rsid w:val="0FC207AC"/>
    <w:rsid w:val="0FDFD6A8"/>
    <w:rsid w:val="0FE84B0E"/>
    <w:rsid w:val="10260EB5"/>
    <w:rsid w:val="10DE48CA"/>
    <w:rsid w:val="10FF35BE"/>
    <w:rsid w:val="11512567"/>
    <w:rsid w:val="11695CA6"/>
    <w:rsid w:val="11AC7FAA"/>
    <w:rsid w:val="129C0C98"/>
    <w:rsid w:val="12A530C1"/>
    <w:rsid w:val="12EF7D9D"/>
    <w:rsid w:val="12FE1008"/>
    <w:rsid w:val="13384A4A"/>
    <w:rsid w:val="13B1024B"/>
    <w:rsid w:val="13C20EF5"/>
    <w:rsid w:val="15056609"/>
    <w:rsid w:val="152F46FB"/>
    <w:rsid w:val="15484DF5"/>
    <w:rsid w:val="15A47EFA"/>
    <w:rsid w:val="15DE3D21"/>
    <w:rsid w:val="16794CAD"/>
    <w:rsid w:val="167F7BAF"/>
    <w:rsid w:val="16C429D7"/>
    <w:rsid w:val="17791BD3"/>
    <w:rsid w:val="17C37965"/>
    <w:rsid w:val="182831BE"/>
    <w:rsid w:val="1853582F"/>
    <w:rsid w:val="187C5FCC"/>
    <w:rsid w:val="189A022E"/>
    <w:rsid w:val="18A27B34"/>
    <w:rsid w:val="18FC5A26"/>
    <w:rsid w:val="19614D0C"/>
    <w:rsid w:val="19FB5727"/>
    <w:rsid w:val="1A097E5E"/>
    <w:rsid w:val="1AB917C8"/>
    <w:rsid w:val="1B7C34C4"/>
    <w:rsid w:val="1BD37C2D"/>
    <w:rsid w:val="1BDE0896"/>
    <w:rsid w:val="1BFC1FE9"/>
    <w:rsid w:val="1C150DD6"/>
    <w:rsid w:val="1C813659"/>
    <w:rsid w:val="1CE00EF1"/>
    <w:rsid w:val="1CFD4575"/>
    <w:rsid w:val="1D1A4CE7"/>
    <w:rsid w:val="1D1E2764"/>
    <w:rsid w:val="1DD97FEB"/>
    <w:rsid w:val="1E2D2B39"/>
    <w:rsid w:val="1E7206F0"/>
    <w:rsid w:val="1E767A58"/>
    <w:rsid w:val="1E796453"/>
    <w:rsid w:val="1EBA2394"/>
    <w:rsid w:val="1EBF79D1"/>
    <w:rsid w:val="1F223DE3"/>
    <w:rsid w:val="200647B0"/>
    <w:rsid w:val="21487F38"/>
    <w:rsid w:val="21925B69"/>
    <w:rsid w:val="2294438F"/>
    <w:rsid w:val="22B20854"/>
    <w:rsid w:val="22BC52EB"/>
    <w:rsid w:val="22DE117B"/>
    <w:rsid w:val="2412027E"/>
    <w:rsid w:val="24951E16"/>
    <w:rsid w:val="24D4196B"/>
    <w:rsid w:val="27503721"/>
    <w:rsid w:val="277F227A"/>
    <w:rsid w:val="279C732B"/>
    <w:rsid w:val="27A46389"/>
    <w:rsid w:val="27D90D63"/>
    <w:rsid w:val="284E57F8"/>
    <w:rsid w:val="28A63863"/>
    <w:rsid w:val="29954C89"/>
    <w:rsid w:val="2998321C"/>
    <w:rsid w:val="2B0275DF"/>
    <w:rsid w:val="2B034261"/>
    <w:rsid w:val="2BA73C9A"/>
    <w:rsid w:val="2BA92769"/>
    <w:rsid w:val="2CD11817"/>
    <w:rsid w:val="2D12111E"/>
    <w:rsid w:val="2D8E4E49"/>
    <w:rsid w:val="2D9B0617"/>
    <w:rsid w:val="2DC47378"/>
    <w:rsid w:val="2E016F2F"/>
    <w:rsid w:val="2E230EF7"/>
    <w:rsid w:val="2E233086"/>
    <w:rsid w:val="2F4329C3"/>
    <w:rsid w:val="30370C17"/>
    <w:rsid w:val="309F3AD5"/>
    <w:rsid w:val="30B05497"/>
    <w:rsid w:val="31296C24"/>
    <w:rsid w:val="31FB72A7"/>
    <w:rsid w:val="320E766C"/>
    <w:rsid w:val="32B840B2"/>
    <w:rsid w:val="32DD02DF"/>
    <w:rsid w:val="336F0C77"/>
    <w:rsid w:val="33D12C62"/>
    <w:rsid w:val="33E91F09"/>
    <w:rsid w:val="33ED121E"/>
    <w:rsid w:val="35554E79"/>
    <w:rsid w:val="362C74C7"/>
    <w:rsid w:val="36A543CF"/>
    <w:rsid w:val="36BB2033"/>
    <w:rsid w:val="37B5480C"/>
    <w:rsid w:val="37DC7264"/>
    <w:rsid w:val="386B2F73"/>
    <w:rsid w:val="395B6BE0"/>
    <w:rsid w:val="39785A2E"/>
    <w:rsid w:val="39D0034A"/>
    <w:rsid w:val="3A013422"/>
    <w:rsid w:val="3AA83831"/>
    <w:rsid w:val="3BB70754"/>
    <w:rsid w:val="3BED310C"/>
    <w:rsid w:val="3CDD0767"/>
    <w:rsid w:val="3CFC37CC"/>
    <w:rsid w:val="3D670293"/>
    <w:rsid w:val="3D705A85"/>
    <w:rsid w:val="3E1C0D39"/>
    <w:rsid w:val="3E711E92"/>
    <w:rsid w:val="3E743FC1"/>
    <w:rsid w:val="3EDD648E"/>
    <w:rsid w:val="3EF5F367"/>
    <w:rsid w:val="3FD07168"/>
    <w:rsid w:val="3FEB6A55"/>
    <w:rsid w:val="3FEF45D3"/>
    <w:rsid w:val="40777AEA"/>
    <w:rsid w:val="407B6C35"/>
    <w:rsid w:val="409976F1"/>
    <w:rsid w:val="40E01CD0"/>
    <w:rsid w:val="40F85500"/>
    <w:rsid w:val="42626607"/>
    <w:rsid w:val="42A774A0"/>
    <w:rsid w:val="43333A7B"/>
    <w:rsid w:val="43E706BE"/>
    <w:rsid w:val="44256E54"/>
    <w:rsid w:val="44B2391A"/>
    <w:rsid w:val="45004D02"/>
    <w:rsid w:val="45492B3A"/>
    <w:rsid w:val="45DC4B29"/>
    <w:rsid w:val="46BA69A3"/>
    <w:rsid w:val="46D45FC0"/>
    <w:rsid w:val="47395E28"/>
    <w:rsid w:val="47E2679A"/>
    <w:rsid w:val="48052B82"/>
    <w:rsid w:val="483E5796"/>
    <w:rsid w:val="484A4CA7"/>
    <w:rsid w:val="491E0EA5"/>
    <w:rsid w:val="4A0C36FE"/>
    <w:rsid w:val="4A33235A"/>
    <w:rsid w:val="4A7C0AAE"/>
    <w:rsid w:val="4A9833D8"/>
    <w:rsid w:val="4AC24B8D"/>
    <w:rsid w:val="4B604C08"/>
    <w:rsid w:val="4C1B20F1"/>
    <w:rsid w:val="4CD80866"/>
    <w:rsid w:val="4D7A221E"/>
    <w:rsid w:val="4D963E19"/>
    <w:rsid w:val="4DBA440F"/>
    <w:rsid w:val="4E6879C7"/>
    <w:rsid w:val="4E7621E1"/>
    <w:rsid w:val="4F193C37"/>
    <w:rsid w:val="4F3459F8"/>
    <w:rsid w:val="4F4A6568"/>
    <w:rsid w:val="4FAA3F2A"/>
    <w:rsid w:val="50716772"/>
    <w:rsid w:val="50A239ED"/>
    <w:rsid w:val="50FB4827"/>
    <w:rsid w:val="51984DE7"/>
    <w:rsid w:val="51C3638E"/>
    <w:rsid w:val="526943B9"/>
    <w:rsid w:val="528F5E6A"/>
    <w:rsid w:val="52A05A32"/>
    <w:rsid w:val="532D0AD5"/>
    <w:rsid w:val="53E344B0"/>
    <w:rsid w:val="54245C2A"/>
    <w:rsid w:val="542E3461"/>
    <w:rsid w:val="548671D4"/>
    <w:rsid w:val="54945361"/>
    <w:rsid w:val="54E63536"/>
    <w:rsid w:val="57DC02FD"/>
    <w:rsid w:val="58182DC8"/>
    <w:rsid w:val="5862479B"/>
    <w:rsid w:val="58BD4413"/>
    <w:rsid w:val="595032C1"/>
    <w:rsid w:val="59581BB0"/>
    <w:rsid w:val="59613FF6"/>
    <w:rsid w:val="5A546743"/>
    <w:rsid w:val="5A6C7C4A"/>
    <w:rsid w:val="5A7A7104"/>
    <w:rsid w:val="5A985A3E"/>
    <w:rsid w:val="5AD30654"/>
    <w:rsid w:val="5C7D150A"/>
    <w:rsid w:val="5CD94921"/>
    <w:rsid w:val="5CFEF275"/>
    <w:rsid w:val="5D3F2329"/>
    <w:rsid w:val="5D6F5605"/>
    <w:rsid w:val="5DA2068F"/>
    <w:rsid w:val="5EE46479"/>
    <w:rsid w:val="5EFA5867"/>
    <w:rsid w:val="5F1B491E"/>
    <w:rsid w:val="5F5A02F6"/>
    <w:rsid w:val="5FBA97E2"/>
    <w:rsid w:val="5FFA0FE2"/>
    <w:rsid w:val="6117129D"/>
    <w:rsid w:val="6156438C"/>
    <w:rsid w:val="61C02A73"/>
    <w:rsid w:val="61C7141F"/>
    <w:rsid w:val="62DE0959"/>
    <w:rsid w:val="633B2326"/>
    <w:rsid w:val="64364CF9"/>
    <w:rsid w:val="64B77407"/>
    <w:rsid w:val="65DA0D53"/>
    <w:rsid w:val="661D7377"/>
    <w:rsid w:val="66E01BA2"/>
    <w:rsid w:val="675809BF"/>
    <w:rsid w:val="68C70A76"/>
    <w:rsid w:val="693434B5"/>
    <w:rsid w:val="69EB0478"/>
    <w:rsid w:val="6A2B5A48"/>
    <w:rsid w:val="6A671F98"/>
    <w:rsid w:val="6A9E549E"/>
    <w:rsid w:val="6B656A9F"/>
    <w:rsid w:val="6D93845F"/>
    <w:rsid w:val="6D9B4FB1"/>
    <w:rsid w:val="6DFBB499"/>
    <w:rsid w:val="6E474F5D"/>
    <w:rsid w:val="6ECB386C"/>
    <w:rsid w:val="6EEF1D20"/>
    <w:rsid w:val="6EF15792"/>
    <w:rsid w:val="6F79152A"/>
    <w:rsid w:val="6F7FC31E"/>
    <w:rsid w:val="6F8A376A"/>
    <w:rsid w:val="6F8B3E38"/>
    <w:rsid w:val="704A687F"/>
    <w:rsid w:val="713D3928"/>
    <w:rsid w:val="72595048"/>
    <w:rsid w:val="72894879"/>
    <w:rsid w:val="72B51491"/>
    <w:rsid w:val="73974858"/>
    <w:rsid w:val="73E52F25"/>
    <w:rsid w:val="760A7432"/>
    <w:rsid w:val="76211B6A"/>
    <w:rsid w:val="76A42AF0"/>
    <w:rsid w:val="76BECE0B"/>
    <w:rsid w:val="777A5772"/>
    <w:rsid w:val="779463FD"/>
    <w:rsid w:val="77FD55E0"/>
    <w:rsid w:val="78D57A5E"/>
    <w:rsid w:val="7933DDFF"/>
    <w:rsid w:val="79473C81"/>
    <w:rsid w:val="7A155310"/>
    <w:rsid w:val="7AFE793A"/>
    <w:rsid w:val="7B3D7962"/>
    <w:rsid w:val="7B3EEDF3"/>
    <w:rsid w:val="7B570EF4"/>
    <w:rsid w:val="7BCD6E77"/>
    <w:rsid w:val="7CCB5B29"/>
    <w:rsid w:val="7D1F5CF8"/>
    <w:rsid w:val="7D3B4E7A"/>
    <w:rsid w:val="7D3FBE52"/>
    <w:rsid w:val="7D5D3F8D"/>
    <w:rsid w:val="7DEB0106"/>
    <w:rsid w:val="7DFB3161"/>
    <w:rsid w:val="7DFF33A3"/>
    <w:rsid w:val="7E3348CD"/>
    <w:rsid w:val="7E3839A6"/>
    <w:rsid w:val="7E5A082B"/>
    <w:rsid w:val="7E75DDAA"/>
    <w:rsid w:val="7EEB247B"/>
    <w:rsid w:val="7EF61A88"/>
    <w:rsid w:val="7EFA0CE2"/>
    <w:rsid w:val="7EFF69E4"/>
    <w:rsid w:val="7EFF97D1"/>
    <w:rsid w:val="7F207D9D"/>
    <w:rsid w:val="7F3DF7F7"/>
    <w:rsid w:val="7F7EE314"/>
    <w:rsid w:val="7FBF1D58"/>
    <w:rsid w:val="7FCBCED0"/>
    <w:rsid w:val="7FE671A8"/>
    <w:rsid w:val="7FFE9A84"/>
    <w:rsid w:val="8FF90A32"/>
    <w:rsid w:val="8FFE57A0"/>
    <w:rsid w:val="94B6562C"/>
    <w:rsid w:val="AEBB49C5"/>
    <w:rsid w:val="AF3F3005"/>
    <w:rsid w:val="AF77704E"/>
    <w:rsid w:val="B3FBBB8E"/>
    <w:rsid w:val="B5461C04"/>
    <w:rsid w:val="B77FBED0"/>
    <w:rsid w:val="B7FB2285"/>
    <w:rsid w:val="B8DF3536"/>
    <w:rsid w:val="BBFDF5ED"/>
    <w:rsid w:val="BF3F3FC3"/>
    <w:rsid w:val="BFBEB5A2"/>
    <w:rsid w:val="CAFC6CE4"/>
    <w:rsid w:val="D7573F5C"/>
    <w:rsid w:val="DD2BB53A"/>
    <w:rsid w:val="DD7F456A"/>
    <w:rsid w:val="DDFFB4E8"/>
    <w:rsid w:val="E37E631D"/>
    <w:rsid w:val="E8FF66B5"/>
    <w:rsid w:val="E9FF7B5D"/>
    <w:rsid w:val="EB570FC7"/>
    <w:rsid w:val="EEF9AC84"/>
    <w:rsid w:val="EEFFA147"/>
    <w:rsid w:val="EFDF8630"/>
    <w:rsid w:val="F1CA6D77"/>
    <w:rsid w:val="F7BBCD12"/>
    <w:rsid w:val="F7FB0DDA"/>
    <w:rsid w:val="F7FB3AD0"/>
    <w:rsid w:val="F7FF0B1F"/>
    <w:rsid w:val="F7FF2BC3"/>
    <w:rsid w:val="F97F65FA"/>
    <w:rsid w:val="FAF727A7"/>
    <w:rsid w:val="FB5F63FC"/>
    <w:rsid w:val="FBB210AF"/>
    <w:rsid w:val="FBDF25BE"/>
    <w:rsid w:val="FC3723D9"/>
    <w:rsid w:val="FC7DDEF2"/>
    <w:rsid w:val="FD6AB073"/>
    <w:rsid w:val="FDBF2EC2"/>
    <w:rsid w:val="FDEF5E7F"/>
    <w:rsid w:val="FF35FD72"/>
    <w:rsid w:val="FF57BDDB"/>
    <w:rsid w:val="FFBCF68B"/>
    <w:rsid w:val="FFBF267F"/>
    <w:rsid w:val="FFD63B47"/>
    <w:rsid w:val="FFFE8C1B"/>
    <w:rsid w:val="FFFEE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kern w:val="2"/>
    </w:rPr>
  </w:style>
  <w:style w:type="paragraph" w:styleId="3">
    <w:name w:val="Body Text"/>
    <w:basedOn w:val="1"/>
    <w:next w:val="4"/>
    <w:qFormat/>
    <w:uiPriority w:val="0"/>
    <w:pPr>
      <w:widowControl w:val="0"/>
      <w:spacing w:before="0" w:after="140" w:line="276" w:lineRule="auto"/>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6">
    <w:name w:val="Normal Indent"/>
    <w:basedOn w:val="1"/>
    <w:qFormat/>
    <w:uiPriority w:val="0"/>
    <w:pPr>
      <w:ind w:firstLine="567"/>
    </w:pPr>
  </w:style>
  <w:style w:type="paragraph" w:styleId="7">
    <w:name w:val="Body Text Indent"/>
    <w:basedOn w:val="1"/>
    <w:qFormat/>
    <w:uiPriority w:val="0"/>
    <w:pPr>
      <w:spacing w:after="120" w:afterLines="0" w:afterAutospacing="0"/>
      <w:ind w:left="420" w:left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pacing w:after="120" w:line="480" w:lineRule="auto"/>
    </w:pPr>
    <w:rPr>
      <w:rFonts w:ascii="Calibri" w:hAnsi="Calibri" w:eastAsia="宋体" w:cs="宋体"/>
      <w:sz w:val="21"/>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7"/>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paragraph" w:customStyle="1" w:styleId="16">
    <w:name w:val="Default"/>
    <w:qFormat/>
    <w:uiPriority w:val="0"/>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3885</Words>
  <Characters>3985</Characters>
  <Lines>0</Lines>
  <Paragraphs>0</Paragraphs>
  <TotalTime>0</TotalTime>
  <ScaleCrop>false</ScaleCrop>
  <LinksUpToDate>false</LinksUpToDate>
  <CharactersWithSpaces>3985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2022-06-22T09:50:00Z</dcterms:created>
  <dc:creator>侯建军(侯建军:)</dc:creator>
  <cp:lastModifiedBy>演示人</cp:lastModifiedBy>
  <cp:lastPrinted>2023-11-23T06:58:00Z</cp:lastPrinted>
  <dcterms:modified xsi:type="dcterms:W3CDTF">2024-10-25T07:42:14Z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1461B7CC707E44B29926ACA1433CC63B_13</vt:lpwstr>
  </property>
</Properties>
</file>