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hint="eastAsia" w:ascii="仿宋_GB2312" w:hAnsi="Calibri" w:eastAsia="仿宋_GB2312"/>
          <w:kern w:val="2"/>
          <w:sz w:val="32"/>
          <w:szCs w:val="32"/>
          <w:lang w:eastAsia="zh-CN"/>
        </w:rPr>
      </w:pPr>
      <w:r>
        <w:rPr>
          <w:rFonts w:hint="eastAsia" w:ascii="仿宋_GB2312" w:hAnsi="Calibri" w:eastAsia="仿宋_GB2312"/>
          <w:kern w:val="2"/>
          <w:sz w:val="32"/>
          <w:szCs w:val="32"/>
        </w:rPr>
        <w:t>东</w:t>
      </w:r>
      <w:r>
        <w:rPr>
          <w:rFonts w:hint="eastAsia" w:ascii="仿宋_GB2312" w:hAnsi="Calibri" w:eastAsia="仿宋_GB2312"/>
          <w:kern w:val="2"/>
          <w:sz w:val="32"/>
          <w:szCs w:val="32"/>
          <w:lang w:eastAsia="zh-CN"/>
        </w:rPr>
        <w:t>建办函</w:t>
      </w:r>
      <w:r>
        <w:rPr>
          <w:rFonts w:hint="eastAsia" w:ascii="仿宋_GB2312" w:hAnsi="Calibri" w:eastAsia="仿宋_GB2312"/>
          <w:kern w:val="2"/>
          <w:sz w:val="32"/>
          <w:szCs w:val="32"/>
        </w:rPr>
        <w:t>〔202</w:t>
      </w:r>
      <w:r>
        <w:rPr>
          <w:rFonts w:hint="eastAsia" w:ascii="仿宋_GB2312" w:hAnsi="Calibri" w:eastAsia="仿宋_GB2312"/>
          <w:kern w:val="2"/>
          <w:sz w:val="32"/>
          <w:szCs w:val="32"/>
          <w:lang w:val="en-US" w:eastAsia="zh-CN"/>
        </w:rPr>
        <w:t>4</w:t>
      </w:r>
      <w:r>
        <w:rPr>
          <w:rFonts w:hint="eastAsia" w:ascii="仿宋_GB2312" w:hAnsi="Calibri" w:eastAsia="仿宋_GB2312"/>
          <w:kern w:val="2"/>
          <w:sz w:val="32"/>
          <w:szCs w:val="32"/>
        </w:rPr>
        <w:t>〕</w:t>
      </w:r>
      <w:r>
        <w:rPr>
          <w:rFonts w:hint="eastAsia" w:ascii="仿宋_GB2312" w:eastAsia="仿宋_GB2312"/>
          <w:kern w:val="2"/>
          <w:sz w:val="32"/>
          <w:szCs w:val="32"/>
          <w:lang w:val="en-US" w:eastAsia="zh-CN"/>
        </w:rPr>
        <w:t>44</w:t>
      </w:r>
      <w:r>
        <w:rPr>
          <w:rFonts w:hint="eastAsia" w:ascii="仿宋_GB2312" w:hAnsi="Calibri" w:eastAsia="仿宋_GB2312"/>
          <w:kern w:val="2"/>
          <w:sz w:val="32"/>
          <w:szCs w:val="32"/>
          <w:lang w:eastAsia="zh-CN"/>
        </w:rPr>
        <w:t>号</w:t>
      </w:r>
    </w:p>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hint="eastAsia" w:ascii="仿宋_GB2312" w:hAnsi="Calibri" w:eastAsia="仿宋_GB2312"/>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lang w:val="en-US" w:eastAsia="zh-CN"/>
        </w:rPr>
      </w:pPr>
      <w:r>
        <w:rPr>
          <w:rFonts w:hint="eastAsia" w:ascii="方正小标宋简体" w:hAnsi="仿宋" w:eastAsia="方正小标宋简体" w:cs="仿宋"/>
          <w:color w:val="000000"/>
          <w:spacing w:val="-20"/>
          <w:kern w:val="2"/>
          <w:sz w:val="44"/>
          <w:szCs w:val="44"/>
          <w:lang w:val="en-US" w:eastAsia="zh-CN" w:bidi="ar"/>
        </w:rPr>
        <w:t>鄂尔多斯市东胜区建设街道办事处关于</w:t>
      </w:r>
      <w:r>
        <w:rPr>
          <w:rFonts w:hint="eastAsia" w:ascii="方正小标宋简体" w:hAnsi="方正小标宋简体" w:eastAsia="方正小标宋简体" w:cs="方正小标宋简体"/>
          <w:sz w:val="44"/>
          <w:szCs w:val="44"/>
          <w:lang w:val="en-US" w:eastAsia="zh-CN"/>
        </w:rPr>
        <w:t>安全生产治本攻坚三年行动开展情况工作报告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东胜区安全生产委员会办公室: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按照《鄂尔多斯市东胜区安全生产委员会办公室关于印发&lt;东胜区安全生产治本攻坚三年行动方案(2024-2026年)&gt;实施方案的通知》要求，现将建设街道9月份安全生产治本攻坚三年行动开展情况报送如下。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一、总体情况和经验做法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街道于3月初召开了安全生产工作部署会，会议传达了《鄂尔多斯市东胜区安全生产委员会办公室关于印发&lt;东胜区安全生产治本攻坚三年行动方案(2024-2026年)&gt;（东办发〔2024〕5号）文件精神并就街道安全生产工作做出了安排部署，要求街道层面迅速开展安全生产治本攻坚三年行动，比照上级方案制定本级安全生产治本攻坚实施方案，进一步明确领导小组、主要任务以及落实具体任务的时间截点等内容；各社区和平安建设办要及时建立隐患问题整改清单、责任清单，切实做到底数清、情况明，同时企业要成立自查整改隐患台账；对发现的问题和隐患,能整改的要立即整改,不能立即整改的要采取严密的防范措施,有序整改，同时上报上级行业主管部门，本次集中整治的重点是消防安全领域、重大事故隐患排查领域、城镇燃气领域、建筑施工专项领域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二、本部门（行业、领域、辖区）重点指标任务进展情况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截至目前，检查企业548家，发现隐患52处，已整改52处，隐患问题主要表现为灭火器过期、厨房未配备灭火毯、安全出口疏散方向不对、消火栓缺少玻璃、车辆乱停乱放经常阻塞消防通道、井盖破损、电动自行车飞线充电等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(一)2024年已完成的重点指标任务。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1.2024年9月底前已完成1-9月份发现的安全隐患，目前都已整改完毕。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(二)2024年正在推进的重点指标任务。</w:t>
      </w:r>
    </w:p>
    <w:p>
      <w:pPr>
        <w:keepNext w:val="0"/>
        <w:keepLines w:val="0"/>
        <w:pageBreakBefore w:val="0"/>
        <w:kinsoku/>
        <w:wordWrap/>
        <w:overflowPunct/>
        <w:topLinePunct w:val="0"/>
        <w:autoSpaceDE w:val="0"/>
        <w:autoSpaceDN w:val="0"/>
        <w:bidi w:val="0"/>
        <w:spacing w:line="560" w:lineRule="exact"/>
        <w:ind w:firstLine="640" w:firstLineChars="200"/>
        <w:jc w:val="left"/>
        <w:textAlignment w:val="baseline"/>
        <w:rPr>
          <w:rFonts w:hint="eastAsia" w:ascii="仿宋" w:hAnsi="仿宋" w:eastAsia="仿宋" w:cs="仿宋"/>
          <w:spacing w:val="0"/>
          <w:sz w:val="32"/>
          <w:szCs w:val="32"/>
          <w:lang w:val="en-US" w:eastAsia="zh-CN"/>
        </w:rPr>
      </w:pPr>
      <w:r>
        <w:rPr>
          <w:rFonts w:hint="eastAsia" w:ascii="仿宋_GB2312" w:hAnsi="仿宋_GB2312" w:eastAsia="仿宋_GB2312" w:cs="仿宋_GB2312"/>
          <w:spacing w:val="0"/>
          <w:sz w:val="32"/>
          <w:szCs w:val="32"/>
          <w:lang w:val="en-US" w:eastAsia="zh-CN"/>
        </w:rPr>
        <w:t>目前，街道正在推进的重点指标任务是电动自行车安全隐患全链条排查整治和基层消防力量建设工作。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存在的问题和困难</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针对电动自行车安全隐患全链条排查整治工作，目前存在的问题是在</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物业服务企业对居民住宅小区常态</w:t>
      </w:r>
      <w:r>
        <w:rPr>
          <w:rFonts w:hint="eastAsia" w:ascii="仿宋_GB2312" w:hAnsi="仿宋_GB2312" w:eastAsia="仿宋_GB2312" w:cs="仿宋_GB2312"/>
          <w:sz w:val="32"/>
          <w:szCs w:val="32"/>
          <w:lang w:eastAsia="zh-CN"/>
        </w:rPr>
        <w:t>化</w:t>
      </w:r>
      <w:bookmarkStart w:id="0" w:name="_GoBack"/>
      <w:bookmarkEnd w:id="0"/>
      <w:r>
        <w:rPr>
          <w:rFonts w:hint="eastAsia" w:ascii="仿宋_GB2312" w:hAnsi="仿宋_GB2312" w:eastAsia="仿宋_GB2312" w:cs="仿宋_GB2312"/>
          <w:sz w:val="32"/>
          <w:szCs w:val="32"/>
        </w:rPr>
        <w:t>开展电动自行车违规停放充电行为巡查提示、劝阻制止</w:t>
      </w:r>
      <w:r>
        <w:rPr>
          <w:rFonts w:hint="eastAsia" w:ascii="仿宋_GB2312" w:hAnsi="仿宋_GB2312" w:eastAsia="仿宋_GB2312" w:cs="仿宋_GB2312"/>
          <w:sz w:val="32"/>
          <w:szCs w:val="32"/>
          <w:lang w:eastAsia="zh-CN"/>
        </w:rPr>
        <w:t>过程中，辖区内违规停放电动自行车、飞线充电现象时有发生，整改难度较大，需由住建、住房、消防等职能部门联合街道、物业共同开展此项工作。</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针对基层消防力量建设工作，目前需做的重点工作是进一步完善防安全检查指导机构，明确机构职能，同时成立防火安全委员会并完善其主要工作职责，需与区消防救援大队共同开展此项工作。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四、近期工作安排</w:t>
      </w:r>
    </w:p>
    <w:p>
      <w:pPr>
        <w:keepNext w:val="0"/>
        <w:keepLines w:val="0"/>
        <w:pageBreakBefore w:val="0"/>
        <w:kinsoku/>
        <w:wordWrap/>
        <w:overflowPunct/>
        <w:topLinePunct w:val="0"/>
        <w:bidi w:val="0"/>
        <w:spacing w:line="560" w:lineRule="exact"/>
        <w:ind w:firstLine="643" w:firstLineChars="20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一是</w:t>
      </w:r>
      <w:r>
        <w:rPr>
          <w:rFonts w:hint="eastAsia" w:ascii="仿宋_GB2312" w:hAnsi="仿宋_GB2312" w:eastAsia="仿宋_GB2312" w:cs="仿宋_GB2312"/>
          <w:kern w:val="2"/>
          <w:sz w:val="32"/>
          <w:szCs w:val="32"/>
          <w:lang w:val="en-US" w:eastAsia="zh-CN" w:bidi="ar"/>
        </w:rPr>
        <w:t>街道将积极配合住建、住房等职能部门统筹建设住宅小区电动自行车停放的充电设施，同时对增设充电设施的地点进行安全评估，确保所有新建充电站点符合消防安全标准，避免潜在的安全隐患。</w:t>
      </w:r>
    </w:p>
    <w:p>
      <w:pPr>
        <w:keepNext w:val="0"/>
        <w:keepLines w:val="0"/>
        <w:pageBreakBefore w:val="0"/>
        <w:kinsoku/>
        <w:wordWrap/>
        <w:overflowPunct/>
        <w:topLinePunct w:val="0"/>
        <w:bidi w:val="0"/>
        <w:spacing w:line="560" w:lineRule="exact"/>
        <w:ind w:firstLine="643" w:firstLineChars="20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二是</w:t>
      </w:r>
      <w:r>
        <w:rPr>
          <w:rFonts w:hint="eastAsia" w:ascii="仿宋_GB2312" w:hAnsi="仿宋_GB2312" w:eastAsia="仿宋_GB2312" w:cs="仿宋_GB2312"/>
          <w:kern w:val="2"/>
          <w:sz w:val="32"/>
          <w:szCs w:val="32"/>
          <w:lang w:val="en-US" w:eastAsia="zh-CN" w:bidi="ar"/>
        </w:rPr>
        <w:t>持续加强电动自行车火灾危害性和疏散逃生专题宣传培训教育，通过微信公众平台、LED显示屏、悬挂条幅等形式积极宣传电动自行车事故案例、火灾预防公益广告，提升电动自行车全链条消防安全意识，杜绝电动自行车室内火灾的发生。</w:t>
      </w:r>
    </w:p>
    <w:p>
      <w:pPr>
        <w:keepNext w:val="0"/>
        <w:keepLines w:val="0"/>
        <w:pageBreakBefore w:val="0"/>
        <w:kinsoku/>
        <w:wordWrap/>
        <w:overflowPunct/>
        <w:topLinePunct w:val="0"/>
        <w:bidi w:val="0"/>
        <w:spacing w:line="560" w:lineRule="exact"/>
        <w:ind w:firstLine="643" w:firstLineChars="20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三是</w:t>
      </w:r>
      <w:r>
        <w:rPr>
          <w:rFonts w:hint="eastAsia" w:ascii="仿宋_GB2312" w:hAnsi="仿宋_GB2312" w:eastAsia="仿宋_GB2312" w:cs="仿宋_GB2312"/>
          <w:kern w:val="2"/>
          <w:sz w:val="32"/>
          <w:szCs w:val="32"/>
          <w:lang w:val="en-US" w:eastAsia="zh-CN" w:bidi="ar"/>
        </w:rPr>
        <w:t>夯实基层消防安全基础。进一步完善消防安全检查指导机构，明确工作职责职能等相关制度（上墙），成立防火安全委员会，同时进一步完善防火安全委员会的主要工作职责等内容（上墙）。</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kern w:val="2"/>
          <w:sz w:val="32"/>
          <w:szCs w:val="32"/>
          <w:lang w:val="en-US" w:eastAsia="zh-CN" w:bidi="ar"/>
        </w:rPr>
      </w:pP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kern w:val="2"/>
          <w:sz w:val="32"/>
          <w:szCs w:val="32"/>
          <w:lang w:val="en-US" w:eastAsia="zh-CN" w:bidi="ar"/>
        </w:rPr>
      </w:pPr>
    </w:p>
    <w:p>
      <w:pPr>
        <w:keepNext w:val="0"/>
        <w:keepLines w:val="0"/>
        <w:pageBreakBefore w:val="0"/>
        <w:kinsoku/>
        <w:wordWrap/>
        <w:overflowPunct/>
        <w:topLinePunct w:val="0"/>
        <w:bidi w:val="0"/>
        <w:spacing w:line="560" w:lineRule="exact"/>
        <w:ind w:firstLine="3520" w:firstLineChars="1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鄂尔多斯市东胜区建设街道办事处</w:t>
      </w:r>
    </w:p>
    <w:p>
      <w:pPr>
        <w:pStyle w:val="2"/>
        <w:keepNext w:val="0"/>
        <w:keepLines w:val="0"/>
        <w:pageBreakBefore w:val="0"/>
        <w:kinsoku/>
        <w:wordWrap/>
        <w:overflowPunct/>
        <w:topLinePunct w:val="0"/>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2024年10月14日</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75044"/>
    <w:multiLevelType w:val="singleLevel"/>
    <w:tmpl w:val="8EE7504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DU5ODU1NWE0MjdkZDc5N2QzMTFmMGIwZDFiYjQifQ=="/>
    <w:docVar w:name="KSO_WPS_MARK_KEY" w:val="a72c68a1-8a50-4bed-906b-1f8f40ce2107"/>
  </w:docVars>
  <w:rsids>
    <w:rsidRoot w:val="5D94504F"/>
    <w:rsid w:val="03B27016"/>
    <w:rsid w:val="077944F1"/>
    <w:rsid w:val="0B8D2240"/>
    <w:rsid w:val="0BCA6CDA"/>
    <w:rsid w:val="0C2D6E8A"/>
    <w:rsid w:val="0D202805"/>
    <w:rsid w:val="16187491"/>
    <w:rsid w:val="1E592455"/>
    <w:rsid w:val="23F22E99"/>
    <w:rsid w:val="24617CAD"/>
    <w:rsid w:val="2683523A"/>
    <w:rsid w:val="27007644"/>
    <w:rsid w:val="2C6721E1"/>
    <w:rsid w:val="31880C30"/>
    <w:rsid w:val="378862A5"/>
    <w:rsid w:val="3A8822B3"/>
    <w:rsid w:val="4349451D"/>
    <w:rsid w:val="438C4D45"/>
    <w:rsid w:val="474F0BC4"/>
    <w:rsid w:val="47582E79"/>
    <w:rsid w:val="4C7F6209"/>
    <w:rsid w:val="5073598C"/>
    <w:rsid w:val="530C1334"/>
    <w:rsid w:val="552D54C7"/>
    <w:rsid w:val="577A417A"/>
    <w:rsid w:val="5CAA4F0F"/>
    <w:rsid w:val="5D94504F"/>
    <w:rsid w:val="658C60E9"/>
    <w:rsid w:val="6C0615C4"/>
    <w:rsid w:val="7DE63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val="0"/>
      <w:suppressLineNumbers w:val="0"/>
      <w:spacing w:after="120" w:afterLines="0" w:afterAutospacing="0"/>
      <w:jc w:val="both"/>
    </w:pPr>
    <w:rPr>
      <w:rFonts w:hint="eastAsia" w:ascii="Calibri" w:hAnsi="Calibri" w:eastAsia="宋体" w:cs="Times New Roman"/>
      <w:kern w:val="2"/>
      <w:sz w:val="21"/>
      <w:szCs w:val="21"/>
      <w:lang w:val="en-US" w:eastAsia="zh-CN" w:bidi="ar"/>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1262</Words>
  <Characters>1314</Characters>
  <Lines>0</Lines>
  <Paragraphs>0</Paragraphs>
  <TotalTime>3</TotalTime>
  <ScaleCrop>false</ScaleCrop>
  <LinksUpToDate>false</LinksUpToDate>
  <CharactersWithSpaces>1402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2024-03-18T08:23:00Z</dcterms:created>
  <dc:creator>刘志强</dc:creator>
  <cp:lastModifiedBy>演示人</cp:lastModifiedBy>
  <cp:lastPrinted>2024-10-16T02:45:00Z</cp:lastPrinted>
  <dcterms:modified xsi:type="dcterms:W3CDTF">2024-10-24T08:08:59Z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35D43BF7CAE8401E876DACB99BF26C98</vt:lpwstr>
  </property>
</Properties>
</file>