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both"/>
        <w:rPr>
          <w:rFonts w:hint="eastAsia" w:ascii="黑体" w:hAnsi="黑体" w:eastAsia="黑体"/>
          <w:color w:val="484848"/>
          <w:sz w:val="32"/>
          <w:szCs w:val="28"/>
          <w:lang w:eastAsia="zh-CN"/>
        </w:rPr>
      </w:pPr>
      <w:r>
        <w:rPr>
          <w:rFonts w:hint="eastAsia" w:ascii="黑体" w:hAnsi="黑体" w:eastAsia="黑体"/>
          <w:color w:val="484848"/>
          <w:sz w:val="32"/>
          <w:szCs w:val="28"/>
        </w:rPr>
        <w:t>附件</w:t>
      </w:r>
      <w:r>
        <w:rPr>
          <w:rFonts w:hint="eastAsia" w:ascii="黑体" w:hAnsi="黑体" w:eastAsia="黑体"/>
          <w:color w:val="484848"/>
          <w:sz w:val="32"/>
          <w:szCs w:val="28"/>
          <w:lang w:val="en-US" w:eastAsia="zh-CN"/>
        </w:rPr>
        <w:t>3</w:t>
      </w:r>
    </w:p>
    <w:p>
      <w:pPr>
        <w:pStyle w:val="4"/>
        <w:spacing w:before="0" w:beforeAutospacing="0" w:after="0" w:afterAutospacing="0" w:line="600" w:lineRule="exact"/>
        <w:jc w:val="both"/>
        <w:rPr>
          <w:rFonts w:ascii="黑体" w:hAnsi="黑体" w:eastAsia="黑体"/>
          <w:color w:val="484848"/>
          <w:sz w:val="32"/>
          <w:szCs w:val="28"/>
        </w:rPr>
      </w:pPr>
    </w:p>
    <w:p>
      <w:pPr>
        <w:spacing w:line="600" w:lineRule="exact"/>
        <w:jc w:val="center"/>
        <w:rPr>
          <w:rFonts w:hint="eastAsia" w:ascii="方正小标宋_GBK" w:hAnsi="宋体" w:eastAsia="方正小标宋_GBK" w:cs="宋体"/>
          <w:bCs/>
          <w:sz w:val="44"/>
          <w:szCs w:val="44"/>
        </w:rPr>
      </w:pPr>
      <w:bookmarkStart w:id="0" w:name="_GoBack"/>
      <w:r>
        <w:rPr>
          <w:rFonts w:hint="eastAsia" w:ascii="方正小标宋_GBK" w:hAnsi="宋体" w:eastAsia="方正小标宋_GBK" w:cs="宋体"/>
          <w:bCs/>
          <w:sz w:val="44"/>
          <w:szCs w:val="44"/>
        </w:rPr>
        <w:t>国家慢性病综合防控示范区建设指标体系任务分解表（2020版）</w:t>
      </w:r>
      <w:bookmarkEnd w:id="0"/>
    </w:p>
    <w:tbl>
      <w:tblPr>
        <w:tblStyle w:val="5"/>
        <w:tblW w:w="15688" w:type="dxa"/>
        <w:jc w:val="center"/>
        <w:tblLayout w:type="fixed"/>
        <w:tblCellMar>
          <w:top w:w="15" w:type="dxa"/>
          <w:left w:w="15" w:type="dxa"/>
          <w:bottom w:w="15" w:type="dxa"/>
          <w:right w:w="15" w:type="dxa"/>
        </w:tblCellMar>
      </w:tblPr>
      <w:tblGrid>
        <w:gridCol w:w="814"/>
        <w:gridCol w:w="1702"/>
        <w:gridCol w:w="2523"/>
        <w:gridCol w:w="5469"/>
        <w:gridCol w:w="720"/>
        <w:gridCol w:w="2909"/>
        <w:gridCol w:w="1551"/>
      </w:tblGrid>
      <w:tr>
        <w:tblPrEx>
          <w:tblCellMar>
            <w:top w:w="15" w:type="dxa"/>
            <w:left w:w="15" w:type="dxa"/>
            <w:bottom w:w="15" w:type="dxa"/>
            <w:right w:w="15" w:type="dxa"/>
          </w:tblCellMar>
        </w:tblPrEx>
        <w:trPr>
          <w:trHeight w:val="580" w:hRule="atLeast"/>
          <w:jc w:val="center"/>
        </w:trPr>
        <w:tc>
          <w:tcPr>
            <w:tcW w:w="81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指标分类</w:t>
            </w:r>
          </w:p>
        </w:tc>
        <w:tc>
          <w:tcPr>
            <w:tcW w:w="1702"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指标内容</w:t>
            </w: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指标要求</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赋分标准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sz w:val="28"/>
                <w:szCs w:val="28"/>
              </w:rPr>
            </w:pPr>
            <w:r>
              <w:rPr>
                <w:rFonts w:hint="eastAsia" w:ascii="黑体" w:hAnsi="黑体" w:eastAsia="黑体" w:cs="宋体"/>
                <w:bCs/>
                <w:color w:val="000000"/>
                <w:kern w:val="0"/>
                <w:sz w:val="28"/>
                <w:szCs w:val="28"/>
              </w:rPr>
              <w:t>权重分值</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档案资料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黑体" w:hAnsi="黑体" w:eastAsia="黑体" w:cs="宋体"/>
                <w:bCs/>
                <w:color w:val="000000"/>
                <w:kern w:val="0"/>
                <w:sz w:val="28"/>
                <w:szCs w:val="28"/>
              </w:rPr>
            </w:pPr>
            <w:r>
              <w:rPr>
                <w:rFonts w:hint="eastAsia" w:ascii="黑体" w:hAnsi="黑体" w:eastAsia="黑体" w:cs="宋体"/>
                <w:bCs/>
                <w:color w:val="000000"/>
                <w:kern w:val="0"/>
                <w:sz w:val="28"/>
                <w:szCs w:val="28"/>
              </w:rPr>
              <w:t>责任部门</w:t>
            </w:r>
          </w:p>
        </w:tc>
      </w:tr>
      <w:tr>
        <w:tblPrEx>
          <w:tblCellMar>
            <w:top w:w="15" w:type="dxa"/>
            <w:left w:w="15" w:type="dxa"/>
            <w:bottom w:w="15" w:type="dxa"/>
            <w:right w:w="15" w:type="dxa"/>
          </w:tblCellMar>
        </w:tblPrEx>
        <w:trPr>
          <w:trHeight w:val="1631"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一、政策发展</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一、政策发展</w:t>
            </w:r>
          </w:p>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60</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（一）发挥政府主导作用，建立多部门协作联动机制。</w:t>
            </w:r>
            <w:r>
              <w:rPr>
                <w:rFonts w:hint="eastAsia" w:ascii="仿宋" w:hAnsi="仿宋" w:eastAsia="仿宋" w:cs="仿宋"/>
                <w:bCs/>
                <w:color w:val="000000"/>
                <w:kern w:val="0"/>
                <w:sz w:val="24"/>
              </w:rPr>
              <w:t>（</w:t>
            </w:r>
            <w:r>
              <w:rPr>
                <w:rFonts w:ascii="仿宋" w:hAnsi="仿宋" w:eastAsia="仿宋" w:cs="仿宋"/>
                <w:bCs/>
                <w:color w:val="000000"/>
                <w:kern w:val="0"/>
                <w:sz w:val="24"/>
              </w:rPr>
              <w:t>18</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1.辖区政府成立示范区建设领导小组，明确并落实部门职责，建立完善的信息反馈沟通制度。</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（1）东胜区政府成立辖区示范区建设领导小组，政府主要领导任组长，明确各部门职责，建立信息反馈沟通制度</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（2）设立示范区建设工作办公室，</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（3）每年召开1次及以上领导小组工作会议，</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（4）根据实际工作需要及时召开联络员会议，</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bCs/>
                <w:color w:val="000000"/>
                <w:kern w:val="0"/>
                <w:szCs w:val="21"/>
              </w:rPr>
            </w:pPr>
            <w:r>
              <w:rPr>
                <w:rFonts w:hint="eastAsia" w:ascii="仿宋" w:hAnsi="仿宋" w:eastAsia="仿宋" w:cs="仿宋"/>
                <w:color w:val="000000"/>
                <w:kern w:val="0"/>
                <w:sz w:val="24"/>
              </w:rPr>
              <w:t>(1）政府有慢性病防控实施方案（领导小组、部门职责)（2）工作会议（有会议通知、会议纪要或记录、签到表、影像资料等）（3）建立信息反馈沟通制度</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政府办主导，卫健委牵头，各镇街道、各部门、各企事业积极配合制定政策并落实</w:t>
            </w:r>
          </w:p>
        </w:tc>
      </w:tr>
      <w:tr>
        <w:tblPrEx>
          <w:tblCellMar>
            <w:top w:w="15" w:type="dxa"/>
            <w:left w:w="15" w:type="dxa"/>
            <w:bottom w:w="15" w:type="dxa"/>
            <w:right w:w="15" w:type="dxa"/>
          </w:tblCellMar>
        </w:tblPrEx>
        <w:trPr>
          <w:trHeight w:val="161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2.区政府将慢性病防控工作纳入当地政府经济社会发展规划。</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（1）慢性病防控工作纳入政府社会经济发展规划，2分；其余0分。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（2）政府制定慢性病综合防控示范区建设实施方案，</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（1）慢性病防控工作纳入政府经济发展规划，有文件</w:t>
            </w:r>
          </w:p>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（2）慢性病防控实施方案</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政府办、发改委</w:t>
            </w:r>
          </w:p>
        </w:tc>
      </w:tr>
      <w:tr>
        <w:tblPrEx>
          <w:tblCellMar>
            <w:top w:w="15" w:type="dxa"/>
            <w:left w:w="15" w:type="dxa"/>
            <w:bottom w:w="15" w:type="dxa"/>
            <w:right w:w="15" w:type="dxa"/>
          </w:tblCellMar>
        </w:tblPrEx>
        <w:trPr>
          <w:trHeight w:val="35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3.慢性病防控融入各部门政策规章制度，有烟草控制、降低有害饮酒、减盐、控油、控制体重、全民健身等慢性病危险因素干预、疾病管理相关的政策规章制度。</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抽查5个部门制定落实相关健康政策情况。</w:t>
            </w:r>
          </w:p>
          <w:p>
            <w:pPr>
              <w:widowControl/>
              <w:numPr>
                <w:ilvl w:val="0"/>
                <w:numId w:val="1"/>
              </w:numPr>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凡制定并落实，每个部门得1分，满分5分。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（2）制定但没有落实，每个部门得0.5分。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各部门建立政策规章制度及具体落实情况</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kern w:val="0"/>
                <w:sz w:val="24"/>
              </w:rPr>
              <w:t>各成员单位</w:t>
            </w:r>
          </w:p>
        </w:tc>
      </w:tr>
      <w:tr>
        <w:tblPrEx>
          <w:tblCellMar>
            <w:top w:w="15" w:type="dxa"/>
            <w:left w:w="15" w:type="dxa"/>
            <w:bottom w:w="15" w:type="dxa"/>
            <w:right w:w="15" w:type="dxa"/>
          </w:tblCellMar>
        </w:tblPrEx>
        <w:trPr>
          <w:trHeight w:val="1622"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4.示范区建设领导小组建立工作督导制度，开展示范区建设的多部门联合督导。</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（1）辖区政府主导每年组织2次由5个及以上部门参与的联合督导，每次得1分；低于5个部门参与得0.5分。对于在政府主导下采用第三方督导的，每年组织2次，每次得1分。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（2）督导内容主要包括部门合作建立的信息沟通共享、激励问责、质量控制等3个基本运行机制情况，每个机制分值为1分。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_GB2312" w:hAnsi="仿宋_GB2312" w:eastAsia="仿宋_GB2312" w:cs="仿宋_GB2312"/>
                <w:color w:val="000000"/>
                <w:kern w:val="0"/>
                <w:szCs w:val="21"/>
              </w:rPr>
            </w:pPr>
            <w:r>
              <w:rPr>
                <w:rFonts w:hint="eastAsia" w:ascii="仿宋" w:hAnsi="仿宋" w:eastAsia="仿宋" w:cs="仿宋"/>
                <w:color w:val="000000"/>
                <w:kern w:val="0"/>
                <w:sz w:val="24"/>
              </w:rPr>
              <w:t>（1）政府办建立工作督导制度（2）有督导记录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政府办主导，卫健委牵头，各成员部门积极配合落实</w:t>
            </w:r>
          </w:p>
        </w:tc>
      </w:tr>
      <w:tr>
        <w:tblPrEx>
          <w:tblCellMar>
            <w:top w:w="15" w:type="dxa"/>
            <w:left w:w="15" w:type="dxa"/>
            <w:bottom w:w="15" w:type="dxa"/>
            <w:right w:w="15" w:type="dxa"/>
          </w:tblCellMar>
        </w:tblPrEx>
        <w:trPr>
          <w:trHeight w:val="73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（二）保障慢性病防控经费。</w:t>
            </w:r>
            <w:r>
              <w:rPr>
                <w:rFonts w:hint="eastAsia" w:ascii="仿宋" w:hAnsi="仿宋" w:eastAsia="仿宋" w:cs="仿宋"/>
                <w:bCs/>
                <w:color w:val="000000"/>
                <w:kern w:val="0"/>
                <w:sz w:val="24"/>
              </w:rPr>
              <w:t>（10分）</w:t>
            </w:r>
          </w:p>
        </w:tc>
        <w:tc>
          <w:tcPr>
            <w:tcW w:w="2523"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1.慢性病防控工作经费纳入政府年度预算、决算管理。</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（1）慢性病防控工作经费纳入政府预算、决算管理，各2分，共4分。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（2）经费预算执行率100%，1分；其余0分。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有文件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财政局</w:t>
            </w:r>
          </w:p>
        </w:tc>
      </w:tr>
      <w:tr>
        <w:tblPrEx>
          <w:tblCellMar>
            <w:top w:w="15" w:type="dxa"/>
            <w:left w:w="15" w:type="dxa"/>
            <w:bottom w:w="15" w:type="dxa"/>
            <w:right w:w="15" w:type="dxa"/>
          </w:tblCellMar>
        </w:tblPrEx>
        <w:trPr>
          <w:trHeight w:val="1001"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2.区政府按规划、计划提供示范区建设专项工作经费，专款专用。</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（1）辖区提供示范区建设专项工作经费，3分；其余0分。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（2）慢性病防控经费专项管理，确保专款专用，2分；其余0分。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有文件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财政局</w:t>
            </w:r>
          </w:p>
        </w:tc>
      </w:tr>
      <w:tr>
        <w:tblPrEx>
          <w:tblCellMar>
            <w:top w:w="15" w:type="dxa"/>
            <w:left w:w="15" w:type="dxa"/>
            <w:bottom w:w="15" w:type="dxa"/>
            <w:right w:w="15" w:type="dxa"/>
          </w:tblCellMar>
        </w:tblPrEx>
        <w:trPr>
          <w:trHeight w:val="39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（三）建立有效的绩效管理及评价机制。</w:t>
            </w:r>
            <w:r>
              <w:rPr>
                <w:rFonts w:hint="eastAsia" w:ascii="仿宋" w:hAnsi="仿宋" w:eastAsia="仿宋" w:cs="仿宋"/>
                <w:bCs/>
                <w:color w:val="000000"/>
                <w:kern w:val="0"/>
                <w:sz w:val="24"/>
              </w:rPr>
              <w:t>（</w:t>
            </w:r>
            <w:r>
              <w:rPr>
                <w:rFonts w:ascii="仿宋" w:hAnsi="仿宋" w:eastAsia="仿宋" w:cs="仿宋"/>
                <w:bCs/>
                <w:color w:val="000000"/>
                <w:kern w:val="0"/>
                <w:sz w:val="24"/>
              </w:rPr>
              <w:t>11</w:t>
            </w:r>
            <w:r>
              <w:rPr>
                <w:rFonts w:hint="eastAsia" w:ascii="仿宋" w:hAnsi="仿宋" w:eastAsia="仿宋" w:cs="仿宋"/>
                <w:bCs/>
                <w:color w:val="000000"/>
                <w:kern w:val="0"/>
                <w:sz w:val="24"/>
              </w:rPr>
              <w:t>分）</w:t>
            </w:r>
          </w:p>
        </w:tc>
        <w:tc>
          <w:tcPr>
            <w:tcW w:w="2523" w:type="dxa"/>
            <w:tcBorders>
              <w:top w:val="single" w:color="000000" w:sz="4" w:space="0"/>
              <w:left w:val="single" w:color="auto"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1.区政府将示范区建设实施方案相关工作纳入各相关部门年度目标管理。</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（1）辖区政府将示范区建设工作纳入各相关部门年度</w:t>
            </w:r>
            <w:r>
              <w:rPr>
                <w:rFonts w:hint="eastAsia" w:ascii="仿宋" w:hAnsi="仿宋" w:eastAsia="仿宋" w:cs="仿宋"/>
                <w:color w:val="000000"/>
                <w:spacing w:val="-6"/>
                <w:kern w:val="0"/>
                <w:sz w:val="24"/>
              </w:rPr>
              <w:t>目标管理，纳入绩效考核目标工作，2分；其余0分</w:t>
            </w:r>
            <w:r>
              <w:rPr>
                <w:rFonts w:hint="eastAsia" w:ascii="仿宋" w:hAnsi="仿宋" w:eastAsia="仿宋" w:cs="仿宋"/>
                <w:color w:val="000000"/>
                <w:kern w:val="0"/>
                <w:sz w:val="24"/>
              </w:rPr>
              <w:t>。</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（2）抽查5个部门执行情况，发现2个及以上部门没有纳入目标管理和绩效考核者不得分。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示范区建设纳入年度目标管理，绩效考核，落实问责制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组织部</w:t>
            </w:r>
          </w:p>
        </w:tc>
      </w:tr>
      <w:tr>
        <w:tblPrEx>
          <w:tblCellMar>
            <w:top w:w="15" w:type="dxa"/>
            <w:left w:w="15" w:type="dxa"/>
            <w:bottom w:w="15" w:type="dxa"/>
            <w:right w:w="15" w:type="dxa"/>
          </w:tblCellMar>
        </w:tblPrEx>
        <w:trPr>
          <w:trHeight w:val="1046" w:hRule="atLeast"/>
          <w:jc w:val="center"/>
        </w:trPr>
        <w:tc>
          <w:tcPr>
            <w:tcW w:w="814" w:type="dxa"/>
            <w:vMerge w:val="continue"/>
            <w:tcBorders>
              <w:top w:val="single" w:color="auto" w:sz="4" w:space="0"/>
              <w:left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2.辖区政府将示范区建设实施方案相关工作纳入各部门绩效考核，落实问责制。</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sz w:val="24"/>
              </w:rPr>
            </w:pPr>
            <w:r>
              <w:rPr>
                <w:rFonts w:hint="eastAsia" w:ascii="仿宋" w:hAnsi="仿宋" w:eastAsia="仿宋" w:cs="仿宋"/>
                <w:color w:val="000000"/>
                <w:kern w:val="0"/>
                <w:sz w:val="24"/>
              </w:rPr>
              <w:t>抽取</w:t>
            </w:r>
            <w:r>
              <w:rPr>
                <w:rFonts w:ascii="仿宋" w:hAnsi="仿宋" w:eastAsia="仿宋" w:cs="仿宋"/>
                <w:color w:val="000000"/>
                <w:kern w:val="0"/>
                <w:sz w:val="24"/>
              </w:rPr>
              <w:t>5</w:t>
            </w:r>
            <w:r>
              <w:rPr>
                <w:rFonts w:hint="eastAsia" w:ascii="仿宋" w:hAnsi="仿宋" w:eastAsia="仿宋" w:cs="仿宋"/>
                <w:color w:val="000000"/>
                <w:kern w:val="0"/>
                <w:sz w:val="24"/>
              </w:rPr>
              <w:t>个相关部门职能科室，询问相关职责知晓与执行情况。部门履职合格的覆盖率达100%，</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组织部</w:t>
            </w:r>
          </w:p>
        </w:tc>
      </w:tr>
      <w:tr>
        <w:tblPrEx>
          <w:tblCellMar>
            <w:top w:w="15" w:type="dxa"/>
            <w:left w:w="15" w:type="dxa"/>
            <w:bottom w:w="15" w:type="dxa"/>
            <w:right w:w="15" w:type="dxa"/>
          </w:tblCellMar>
        </w:tblPrEx>
        <w:trPr>
          <w:trHeight w:val="675" w:hRule="atLeast"/>
          <w:jc w:val="center"/>
        </w:trPr>
        <w:tc>
          <w:tcPr>
            <w:tcW w:w="814" w:type="dxa"/>
            <w:vMerge w:val="continue"/>
            <w:tcBorders>
              <w:left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3.采用多种形式获取群众对辖区慢性病综合防控的参与度和满意度。</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采用多种形式获取群众对辖区慢性病综合防控的参与度和满意度，并形成相关评价报告，4分。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调查评价报告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各成员单位</w:t>
            </w:r>
          </w:p>
        </w:tc>
      </w:tr>
      <w:tr>
        <w:tblPrEx>
          <w:tblCellMar>
            <w:top w:w="15" w:type="dxa"/>
            <w:left w:w="15" w:type="dxa"/>
            <w:bottom w:w="15" w:type="dxa"/>
            <w:right w:w="15" w:type="dxa"/>
          </w:tblCellMar>
        </w:tblPrEx>
        <w:trPr>
          <w:trHeight w:val="394" w:hRule="atLeast"/>
          <w:jc w:val="center"/>
        </w:trPr>
        <w:tc>
          <w:tcPr>
            <w:tcW w:w="814" w:type="dxa"/>
            <w:vMerge w:val="continue"/>
            <w:tcBorders>
              <w:left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1702" w:type="dxa"/>
            <w:vMerge w:val="restart"/>
            <w:tcBorders>
              <w:top w:val="single" w:color="000000" w:sz="4" w:space="0"/>
              <w:left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bCs/>
                <w:color w:val="000000"/>
                <w:kern w:val="0"/>
                <w:sz w:val="24"/>
              </w:rPr>
              <w:t>（四）</w:t>
            </w:r>
            <w:r>
              <w:rPr>
                <w:rFonts w:hint="eastAsia" w:ascii="仿宋" w:hAnsi="仿宋" w:eastAsia="仿宋" w:cs="仿宋"/>
                <w:color w:val="000000"/>
                <w:kern w:val="0"/>
                <w:sz w:val="24"/>
              </w:rPr>
              <w:t>辖区政府定期发布慢性病及社会影响因素状况报告。</w:t>
            </w:r>
            <w:r>
              <w:rPr>
                <w:rFonts w:hint="eastAsia" w:ascii="仿宋" w:hAnsi="仿宋" w:eastAsia="仿宋" w:cs="仿宋"/>
                <w:bCs/>
                <w:color w:val="000000"/>
                <w:kern w:val="0"/>
                <w:sz w:val="24"/>
              </w:rPr>
              <w:t>（21分）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1.区政府定期发布慢性病及社会影响因素状况报告。</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（1）区政府定期发布慢性病及社会影响因素状况报告，3分；其余0分。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（2）报告主要结果用于政府工作报告，2分；其余0分。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发布报告的佐证材料、政府工作报告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政府办、卫健委（疾控中心）、</w:t>
            </w:r>
            <w:r>
              <w:rPr>
                <w:rFonts w:hint="eastAsia" w:ascii="仿宋" w:hAnsi="仿宋" w:eastAsia="仿宋" w:cs="仿宋"/>
                <w:kern w:val="0"/>
                <w:sz w:val="24"/>
              </w:rPr>
              <w:t>各成员单位</w:t>
            </w:r>
          </w:p>
        </w:tc>
      </w:tr>
      <w:tr>
        <w:tblPrEx>
          <w:tblCellMar>
            <w:top w:w="15" w:type="dxa"/>
            <w:left w:w="15" w:type="dxa"/>
            <w:bottom w:w="15" w:type="dxa"/>
            <w:right w:w="15" w:type="dxa"/>
          </w:tblCellMar>
        </w:tblPrEx>
        <w:trPr>
          <w:trHeight w:val="394" w:hRule="atLeast"/>
          <w:jc w:val="center"/>
        </w:trPr>
        <w:tc>
          <w:tcPr>
            <w:tcW w:w="814" w:type="dxa"/>
            <w:vMerge w:val="continue"/>
            <w:tcBorders>
              <w:left w:val="single" w:color="000000" w:sz="4" w:space="0"/>
              <w:bottom w:val="single" w:color="auto"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1702" w:type="dxa"/>
            <w:vMerge w:val="continue"/>
            <w:tcBorders>
              <w:left w:val="single" w:color="000000" w:sz="4" w:space="0"/>
              <w:bottom w:val="single" w:color="auto"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2.辖区居民健康状况优于全国平均水平。</w:t>
            </w:r>
          </w:p>
        </w:tc>
        <w:tc>
          <w:tcPr>
            <w:tcW w:w="5469" w:type="dxa"/>
            <w:tcBorders>
              <w:top w:val="single" w:color="000000" w:sz="4" w:space="0"/>
              <w:left w:val="single" w:color="000000" w:sz="4" w:space="0"/>
              <w:bottom w:val="single" w:color="auto" w:sz="4" w:space="0"/>
              <w:right w:val="single" w:color="000000" w:sz="4" w:space="0"/>
            </w:tcBorders>
          </w:tcPr>
          <w:p>
            <w:pPr>
              <w:widowControl/>
              <w:spacing w:line="40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1）重大慢性病过早死亡率5年下降</w:t>
            </w:r>
            <w:r>
              <w:rPr>
                <w:rStyle w:val="7"/>
                <w:rFonts w:hint="default"/>
              </w:rPr>
              <w:t>≥</w:t>
            </w:r>
            <w:r>
              <w:rPr>
                <w:rFonts w:ascii="仿宋" w:hAnsi="仿宋" w:eastAsia="仿宋" w:cs="仿宋"/>
                <w:color w:val="000000"/>
                <w:kern w:val="0"/>
                <w:sz w:val="24"/>
              </w:rPr>
              <w:t>10%，8分；</w:t>
            </w:r>
            <w:r>
              <w:rPr>
                <w:rFonts w:hint="eastAsia" w:ascii="仿宋" w:hAnsi="仿宋" w:eastAsia="仿宋" w:cs="仿宋"/>
                <w:color w:val="000000"/>
                <w:kern w:val="0"/>
                <w:sz w:val="24"/>
              </w:rPr>
              <w:t>5%-10%，3分，</w:t>
            </w:r>
            <w:r>
              <w:rPr>
                <w:rFonts w:ascii="仿宋" w:hAnsi="仿宋" w:eastAsia="仿宋" w:cs="仿宋"/>
                <w:color w:val="000000"/>
                <w:kern w:val="0"/>
                <w:sz w:val="24"/>
              </w:rPr>
              <w:t xml:space="preserve">其余0分。    </w:t>
            </w:r>
            <w:r>
              <w:rPr>
                <w:rFonts w:hint="eastAsia" w:ascii="仿宋" w:hAnsi="仿宋" w:eastAsia="仿宋" w:cs="仿宋"/>
                <w:color w:val="000000"/>
                <w:kern w:val="0"/>
                <w:sz w:val="24"/>
              </w:rPr>
              <w:t xml:space="preserve">                     </w:t>
            </w:r>
          </w:p>
          <w:p>
            <w:pPr>
              <w:widowControl/>
              <w:spacing w:line="40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（2）心脑血管疾病标化死亡率降至205.1/10万及以下，4分；205.1-209.7/10万，2分；高于209.7/10万不得分。</w:t>
            </w:r>
          </w:p>
          <w:p>
            <w:pPr>
              <w:widowControl/>
              <w:spacing w:line="400" w:lineRule="exact"/>
              <w:jc w:val="left"/>
              <w:textAlignment w:val="top"/>
              <w:rPr>
                <w:rFonts w:ascii="仿宋" w:hAnsi="仿宋" w:eastAsia="仿宋" w:cs="仿宋"/>
                <w:color w:val="000000"/>
                <w:sz w:val="24"/>
              </w:rPr>
            </w:pPr>
            <w:r>
              <w:rPr>
                <w:rFonts w:hint="eastAsia" w:ascii="仿宋" w:hAnsi="仿宋" w:eastAsia="仿宋" w:cs="仿宋"/>
                <w:color w:val="000000"/>
                <w:kern w:val="0"/>
                <w:sz w:val="24"/>
              </w:rPr>
              <w:t>（3）70岁及以下人群慢性呼吸系统疾病标化死亡率降至9.0/10万及以下，4分；高于9.0/10万不得分。</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16</w:t>
            </w:r>
          </w:p>
        </w:tc>
        <w:tc>
          <w:tcPr>
            <w:tcW w:w="2909"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 w:hAnsi="仿宋" w:eastAsia="仿宋" w:cs="仿宋"/>
                <w:color w:val="000000"/>
                <w:kern w:val="0"/>
                <w:sz w:val="24"/>
              </w:rPr>
              <w:t>统计数据分析报告</w:t>
            </w:r>
          </w:p>
        </w:tc>
        <w:tc>
          <w:tcPr>
            <w:tcW w:w="155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疾控中心</w:t>
            </w:r>
          </w:p>
        </w:tc>
      </w:tr>
      <w:tr>
        <w:tblPrEx>
          <w:tblCellMar>
            <w:top w:w="15" w:type="dxa"/>
            <w:left w:w="15" w:type="dxa"/>
            <w:bottom w:w="15" w:type="dxa"/>
            <w:right w:w="15" w:type="dxa"/>
          </w:tblCellMar>
        </w:tblPrEx>
        <w:trPr>
          <w:trHeight w:val="5165"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p>
          <w:p>
            <w:pPr>
              <w:widowControl/>
              <w:spacing w:line="4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二、环境支持</w:t>
            </w:r>
          </w:p>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（一）构建全方位健康支持性环境。</w:t>
            </w:r>
            <w:r>
              <w:rPr>
                <w:rFonts w:hint="eastAsia" w:ascii="仿宋" w:hAnsi="仿宋" w:eastAsia="仿宋" w:cs="仿宋"/>
                <w:bCs/>
                <w:color w:val="000000"/>
                <w:kern w:val="0"/>
                <w:sz w:val="24"/>
              </w:rPr>
              <w:t>（</w:t>
            </w:r>
            <w:r>
              <w:rPr>
                <w:rFonts w:ascii="仿宋" w:hAnsi="仿宋" w:eastAsia="仿宋" w:cs="仿宋"/>
                <w:bCs/>
                <w:color w:val="000000"/>
                <w:kern w:val="0"/>
                <w:sz w:val="24"/>
              </w:rPr>
              <w:t>9</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1.按照国家标准开展健康社区、单位、学校、食堂、餐厅/酒店建设，数量逐年增加。</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Style w:val="8"/>
                <w:rFonts w:hint="default"/>
              </w:rPr>
            </w:pPr>
            <w:r>
              <w:rPr>
                <w:rFonts w:hint="eastAsia" w:ascii="仿宋" w:hAnsi="仿宋" w:eastAsia="仿宋" w:cs="仿宋"/>
                <w:color w:val="000000"/>
                <w:kern w:val="0"/>
                <w:sz w:val="24"/>
              </w:rPr>
              <w:t>（1）健康社区占辖区社区总数</w:t>
            </w:r>
            <w:r>
              <w:rPr>
                <w:rStyle w:val="7"/>
                <w:rFonts w:hint="default"/>
              </w:rPr>
              <w:t>≥</w:t>
            </w:r>
            <w:r>
              <w:rPr>
                <w:rStyle w:val="8"/>
                <w:rFonts w:hint="default"/>
              </w:rPr>
              <w:t>30%，1分； 30%以下0分。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（2）健康单位、学校、食堂、餐厅/酒店每类不少于5个，每类</w:t>
            </w:r>
            <w:r>
              <w:rPr>
                <w:rFonts w:ascii="仿宋" w:hAnsi="仿宋" w:eastAsia="仿宋" w:cs="仿宋"/>
                <w:color w:val="000000"/>
                <w:kern w:val="0"/>
                <w:sz w:val="24"/>
              </w:rPr>
              <w:t>1</w:t>
            </w:r>
            <w:r>
              <w:rPr>
                <w:rFonts w:hint="eastAsia" w:ascii="仿宋" w:hAnsi="仿宋" w:eastAsia="仿宋" w:cs="仿宋"/>
                <w:color w:val="000000"/>
                <w:kern w:val="0"/>
                <w:sz w:val="24"/>
              </w:rPr>
              <w:t>分；每少1个扣0.5分。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（3）现场调研发现每类中有1个不达标，该类不得分。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复审：健康社区覆盖率逐年增加5%或达到40%及以上，</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健康单位、学校、食堂、餐厅/酒店每年增加2个或每类达到10个及以上，每类</w:t>
            </w:r>
            <w:r>
              <w:rPr>
                <w:rFonts w:ascii="仿宋" w:hAnsi="仿宋" w:eastAsia="仿宋" w:cs="仿宋"/>
                <w:color w:val="000000"/>
                <w:kern w:val="0"/>
                <w:sz w:val="24"/>
              </w:rPr>
              <w:t>1</w:t>
            </w:r>
            <w:r>
              <w:rPr>
                <w:rFonts w:hint="eastAsia" w:ascii="仿宋" w:hAnsi="仿宋" w:eastAsia="仿宋" w:cs="仿宋"/>
                <w:color w:val="000000"/>
                <w:kern w:val="0"/>
                <w:sz w:val="24"/>
              </w:rPr>
              <w:t>分，每年增加未达标者该类不得分。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ascii="仿宋" w:hAnsi="仿宋" w:eastAsia="仿宋" w:cs="仿宋"/>
                <w:bCs/>
                <w:color w:val="000000"/>
                <w:kern w:val="0"/>
                <w:sz w:val="24"/>
              </w:rPr>
              <w:t>5</w:t>
            </w:r>
          </w:p>
        </w:tc>
        <w:tc>
          <w:tcPr>
            <w:tcW w:w="29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hint="eastAsia" w:ascii="仿宋" w:hAnsi="仿宋" w:eastAsia="仿宋" w:cs="仿宋"/>
                <w:color w:val="000000"/>
                <w:spacing w:val="-10"/>
                <w:kern w:val="0"/>
                <w:sz w:val="24"/>
              </w:rPr>
              <w:t>1）健康社区各街道有领导小组、工作实施方案、评审结果等创建工作相关资料（2）健康单位各单位有领导小组、工作实施方案、自评报告、工间操制度、无烟单位制度等创建工作相关资料（3）健康学校教体局有领导小组、工作实施方案、评审结果(4)健康食堂（酒店）市场监督管理局有领导小组、工作实施方案</w:t>
            </w:r>
            <w:r>
              <w:rPr>
                <w:rFonts w:hint="eastAsia" w:ascii="仿宋" w:hAnsi="仿宋" w:eastAsia="仿宋" w:cs="仿宋"/>
                <w:color w:val="000000"/>
                <w:kern w:val="0"/>
                <w:sz w:val="24"/>
              </w:rPr>
              <w:t>、评审结果等创建工作相关资料</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街道、教体局、市场监督管理局、卫健委（爱国卫生指导服务中心）、各成员单位</w:t>
            </w:r>
          </w:p>
        </w:tc>
      </w:tr>
      <w:tr>
        <w:tblPrEx>
          <w:tblCellMar>
            <w:top w:w="15" w:type="dxa"/>
            <w:left w:w="15" w:type="dxa"/>
            <w:bottom w:w="15" w:type="dxa"/>
            <w:right w:w="15" w:type="dxa"/>
          </w:tblCellMar>
        </w:tblPrEx>
        <w:trPr>
          <w:trHeight w:val="466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2.按照国家标准开展健康主题公园、步道、小屋、健康街区等健康支持性环境建设，数量逐年增加。</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（1）健康主题公园、步道、小屋、街区、超市、社团等，每建设1类，1分，满分4分。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（2）现场评估发现1个不达标，该类不得分。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复审：健康步道、小屋等数量逐年有增加或每类建设数量达到3个，每类2分，满分4分，未达标者该类不得分。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auto" w:sz="4" w:space="0"/>
              <w:left w:val="single" w:color="auto" w:sz="4" w:space="0"/>
              <w:bottom w:val="single" w:color="auto" w:sz="4" w:space="0"/>
              <w:right w:val="single" w:color="auto" w:sz="4" w:space="0"/>
            </w:tcBorders>
          </w:tcPr>
          <w:p>
            <w:pPr>
              <w:widowControl/>
              <w:spacing w:line="400" w:lineRule="exact"/>
              <w:textAlignment w:val="top"/>
              <w:rPr>
                <w:rFonts w:ascii="仿宋" w:hAnsi="仿宋" w:eastAsia="仿宋" w:cs="仿宋"/>
                <w:color w:val="000000"/>
                <w:spacing w:val="-20"/>
                <w:kern w:val="0"/>
                <w:sz w:val="24"/>
              </w:rPr>
            </w:pPr>
            <w:r>
              <w:rPr>
                <w:rFonts w:hint="eastAsia" w:ascii="仿宋" w:hAnsi="仿宋" w:eastAsia="仿宋" w:cs="仿宋"/>
                <w:color w:val="000000"/>
                <w:spacing w:val="-20"/>
                <w:kern w:val="0"/>
                <w:sz w:val="24"/>
              </w:rPr>
              <w:t>（1）健康主题公园要求有标志、主题公园简介、环境照片、要突出亮点（2）健康步道要求有明显指示标志、步道简介、健康宣传知识、环境照片（3）健康小屋要求标题醒目、有测量设备、墙上悬挂各种检测结果的正常参考范围、放居民自行取用的健康宣传资料（4）健康一条街要求长度不少于150米，醒目标志、街道两边有健康宣传载体（宣传栏、LED屏等）提供一条街简介、环境图片，要突出亮点</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街道、园林绿化事业发展中心、市场监督管理局、卫健委（爱国卫生指导服务中心）、城市管理综合行政执法局、民政局</w:t>
            </w:r>
          </w:p>
        </w:tc>
      </w:tr>
      <w:tr>
        <w:tblPrEx>
          <w:tblCellMar>
            <w:top w:w="15" w:type="dxa"/>
            <w:left w:w="15" w:type="dxa"/>
            <w:bottom w:w="15" w:type="dxa"/>
            <w:right w:w="15" w:type="dxa"/>
          </w:tblCellMar>
        </w:tblPrEx>
        <w:trPr>
          <w:trHeight w:val="402"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（二）为群众提供方便、可及的自助式健康检测服务。</w:t>
            </w:r>
            <w:r>
              <w:rPr>
                <w:rFonts w:hint="eastAsia" w:ascii="仿宋" w:hAnsi="仿宋" w:eastAsia="仿宋" w:cs="仿宋"/>
                <w:bCs/>
                <w:color w:val="000000"/>
                <w:kern w:val="0"/>
                <w:sz w:val="24"/>
              </w:rPr>
              <w:t>（</w:t>
            </w:r>
            <w:r>
              <w:rPr>
                <w:rFonts w:ascii="仿宋" w:hAnsi="仿宋" w:eastAsia="仿宋" w:cs="仿宋"/>
                <w:bCs/>
                <w:color w:val="000000"/>
                <w:kern w:val="0"/>
                <w:sz w:val="24"/>
              </w:rPr>
              <w:t>4</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1.社区卫生服务中心和乡镇卫生院设置自助式健康检测点，并提供个体化健康指导。</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（1）设置健康检测点的机构覆盖率达100%，1分；其他0分。</w:t>
            </w:r>
          </w:p>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（2）检测结果进入健康档案，实现信息利用。1分</w:t>
            </w:r>
          </w:p>
          <w:p>
            <w:pPr>
              <w:widowControl/>
              <w:spacing w:line="400" w:lineRule="exact"/>
              <w:textAlignment w:val="top"/>
              <w:rPr>
                <w:rFonts w:ascii="仿宋" w:hAnsi="仿宋" w:eastAsia="仿宋" w:cs="仿宋"/>
                <w:color w:val="000000"/>
                <w:sz w:val="24"/>
              </w:rPr>
            </w:pPr>
            <w:r>
              <w:rPr>
                <w:rFonts w:hint="eastAsia" w:ascii="仿宋" w:hAnsi="仿宋" w:eastAsia="仿宋" w:cs="仿宋"/>
                <w:color w:val="000000"/>
                <w:kern w:val="0"/>
                <w:sz w:val="24"/>
              </w:rPr>
              <w:t>（3）提供个性化健康指导的机构比例≥50%，</w:t>
            </w:r>
            <w:r>
              <w:rPr>
                <w:rFonts w:ascii="仿宋" w:hAnsi="仿宋" w:eastAsia="仿宋" w:cs="仿宋"/>
                <w:color w:val="000000"/>
                <w:kern w:val="0"/>
                <w:sz w:val="24"/>
              </w:rPr>
              <w:t>2</w:t>
            </w:r>
            <w:r>
              <w:rPr>
                <w:rFonts w:hint="eastAsia" w:ascii="仿宋" w:hAnsi="仿宋" w:eastAsia="仿宋" w:cs="仿宋"/>
                <w:color w:val="000000"/>
                <w:kern w:val="0"/>
                <w:sz w:val="24"/>
              </w:rPr>
              <w:t>分；</w:t>
            </w:r>
            <w:r>
              <w:rPr>
                <w:rFonts w:ascii="仿宋" w:hAnsi="仿宋" w:eastAsia="仿宋" w:cs="仿宋"/>
                <w:color w:val="000000"/>
                <w:kern w:val="0"/>
                <w:sz w:val="24"/>
              </w:rPr>
              <w:t>3</w:t>
            </w:r>
            <w:r>
              <w:rPr>
                <w:rFonts w:hint="eastAsia" w:ascii="仿宋" w:hAnsi="仿宋" w:eastAsia="仿宋" w:cs="仿宋"/>
                <w:color w:val="000000"/>
                <w:kern w:val="0"/>
                <w:sz w:val="24"/>
              </w:rPr>
              <w:t>0-50%，</w:t>
            </w:r>
            <w:r>
              <w:rPr>
                <w:rFonts w:ascii="仿宋" w:hAnsi="仿宋" w:eastAsia="仿宋" w:cs="仿宋"/>
                <w:color w:val="000000"/>
                <w:kern w:val="0"/>
                <w:sz w:val="24"/>
              </w:rPr>
              <w:t>1</w:t>
            </w:r>
            <w:r>
              <w:rPr>
                <w:rFonts w:hint="eastAsia" w:ascii="仿宋" w:hAnsi="仿宋" w:eastAsia="仿宋" w:cs="仿宋"/>
                <w:color w:val="000000"/>
                <w:kern w:val="0"/>
                <w:sz w:val="24"/>
              </w:rPr>
              <w:t>分； 30%以下0分。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4</w:t>
            </w:r>
          </w:p>
        </w:tc>
        <w:tc>
          <w:tcPr>
            <w:tcW w:w="29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各社区卫生服务中心、卫生院设置自助式健康监测点，提供简介、环境照片等佐证</w:t>
            </w:r>
          </w:p>
        </w:tc>
        <w:tc>
          <w:tcPr>
            <w:tcW w:w="15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卫健委（各社区卫生服务中心和乡镇卫生院）</w:t>
            </w:r>
          </w:p>
        </w:tc>
      </w:tr>
      <w:tr>
        <w:tblPrEx>
          <w:tblCellMar>
            <w:top w:w="15" w:type="dxa"/>
            <w:left w:w="15" w:type="dxa"/>
            <w:bottom w:w="15" w:type="dxa"/>
            <w:right w:w="15" w:type="dxa"/>
          </w:tblCellMar>
        </w:tblPrEx>
        <w:trPr>
          <w:trHeight w:val="1294" w:hRule="atLeast"/>
          <w:jc w:val="center"/>
        </w:trPr>
        <w:tc>
          <w:tcPr>
            <w:tcW w:w="814" w:type="dxa"/>
            <w:vMerge w:val="continue"/>
            <w:tcBorders>
              <w:top w:val="single" w:color="auto"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（三）开展全民健身运动，普及公共体育设施，提高经常参加体育锻炼人口比例。</w:t>
            </w:r>
          </w:p>
          <w:p>
            <w:pPr>
              <w:widowControl/>
              <w:spacing w:line="5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（11分）</w:t>
            </w:r>
          </w:p>
        </w:tc>
        <w:tc>
          <w:tcPr>
            <w:tcW w:w="2523"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1.社区建设15分钟健身圈，居民健身设施完好，提高人均体育场地面积。</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（1）社区15分钟健身圈/农村行政村体育设施覆盖率达到100%，1分；其余0分。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（2）设备完好100%，0.5分；其余0分。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（3）人均体育场地面积达2平米，0.5分；其余0分。</w:t>
            </w:r>
          </w:p>
        </w:tc>
        <w:tc>
          <w:tcPr>
            <w:tcW w:w="720"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auto"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（1)公共体育场地由教体局提供资料（2）中小学生每天锻炼一小时由教体局提供资料</w:t>
            </w:r>
          </w:p>
        </w:tc>
        <w:tc>
          <w:tcPr>
            <w:tcW w:w="1551" w:type="dxa"/>
            <w:tcBorders>
              <w:top w:val="single" w:color="auto"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教体局、各企事业单位、各镇街道</w:t>
            </w:r>
          </w:p>
        </w:tc>
      </w:tr>
      <w:tr>
        <w:tblPrEx>
          <w:tblCellMar>
            <w:top w:w="15" w:type="dxa"/>
            <w:left w:w="15" w:type="dxa"/>
            <w:bottom w:w="15" w:type="dxa"/>
            <w:right w:w="15" w:type="dxa"/>
          </w:tblCellMar>
        </w:tblPrEx>
        <w:trPr>
          <w:trHeight w:val="13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2.公共体育场地、有条件的企事业和学校的体育场地免费或低收费向社区居民开放。</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（1）公共体育场地、设施免费或低收费开放比例100%，1分；其余0分。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（2）有条件的单位免费或低收费开放比例≥30%，1分；30%以下0分。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教体局提供公共体育场地免费开放的场地名单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教体局、各企事业单位</w:t>
            </w:r>
          </w:p>
        </w:tc>
      </w:tr>
      <w:tr>
        <w:tblPrEx>
          <w:tblCellMar>
            <w:top w:w="15" w:type="dxa"/>
            <w:left w:w="15" w:type="dxa"/>
            <w:bottom w:w="15" w:type="dxa"/>
            <w:right w:w="15" w:type="dxa"/>
          </w:tblCellMar>
        </w:tblPrEx>
        <w:trPr>
          <w:trHeight w:val="97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3.机关、企事业单位开展工间健身活动，组织符合单位特点的健身和竞赛活动。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（1）开展工间健身活动单位覆盖率≥80%，1分；80%以下0分。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（2）每年机关、企事业单位组织开展至少1次健身竞赛活动，1分；未开展不得分。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各部门开展工间操比例在80%，有条件的单位组织职工开展爬山、球类、游泳等活动，要求提供活动的计</w:t>
            </w:r>
            <w:r>
              <w:rPr>
                <w:rFonts w:hint="eastAsia" w:ascii="仿宋" w:hAnsi="仿宋" w:eastAsia="仿宋" w:cs="仿宋"/>
                <w:color w:val="000000"/>
                <w:spacing w:val="-6"/>
                <w:kern w:val="0"/>
                <w:sz w:val="24"/>
              </w:rPr>
              <w:t>划、通知，活动照片、总结等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总工会牵头、各部门、各企事业单位配合</w:t>
            </w:r>
          </w:p>
        </w:tc>
      </w:tr>
      <w:tr>
        <w:tblPrEx>
          <w:tblCellMar>
            <w:top w:w="15" w:type="dxa"/>
            <w:left w:w="15" w:type="dxa"/>
            <w:bottom w:w="15" w:type="dxa"/>
            <w:right w:w="15" w:type="dxa"/>
          </w:tblCellMar>
        </w:tblPrEx>
        <w:trPr>
          <w:trHeight w:val="43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4.实施青少年体育活动促进计划。</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（1）中小学生每天校内体育活动时间不少于1小时的比例达到100%，1 分；100%以下，0 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（2）国家学生体质健康标准达标优良率（%）≥50%，1分；50%以下，0分。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提供课程安排表、数据分析</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6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5.提高经常参加体育锻炼人口比例。</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经常参加体育锻炼人口比例≥40%,3分；35-40%，2分；35%以下 0 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171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（四）开展烟草控制，降低人群吸烟率。</w:t>
            </w:r>
            <w:r>
              <w:rPr>
                <w:rFonts w:hint="eastAsia" w:ascii="仿宋" w:hAnsi="仿宋" w:eastAsia="仿宋" w:cs="仿宋"/>
                <w:bCs/>
                <w:color w:val="000000"/>
                <w:kern w:val="0"/>
                <w:sz w:val="24"/>
              </w:rPr>
              <w:t>（</w:t>
            </w:r>
            <w:r>
              <w:rPr>
                <w:rFonts w:ascii="仿宋" w:hAnsi="仿宋" w:eastAsia="仿宋" w:cs="仿宋"/>
                <w:bCs/>
                <w:color w:val="000000"/>
                <w:kern w:val="0"/>
                <w:sz w:val="24"/>
              </w:rPr>
              <w:t>11</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1.辖区室内公共场所、工作场所和公共交通工具设置禁止吸烟警语和标识。</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辖区100%的室内公共场所、工作场所和公共交通工具全面禁烟，设置禁止吸烟警语和标识，</w:t>
            </w:r>
            <w:r>
              <w:rPr>
                <w:rFonts w:ascii="仿宋" w:hAnsi="仿宋" w:eastAsia="仿宋" w:cs="仿宋"/>
                <w:color w:val="000000"/>
                <w:kern w:val="0"/>
                <w:sz w:val="24"/>
              </w:rPr>
              <w:t>2</w:t>
            </w:r>
            <w:r>
              <w:rPr>
                <w:rFonts w:hint="eastAsia" w:ascii="仿宋" w:hAnsi="仿宋" w:eastAsia="仿宋" w:cs="仿宋"/>
                <w:color w:val="000000"/>
                <w:kern w:val="0"/>
                <w:sz w:val="24"/>
              </w:rPr>
              <w:t>分；95-100%,1分；95%以下 0分。抽查发现1个单位不合格，不得分。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有禁止吸烟的标语和标识</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kern w:val="0"/>
                <w:sz w:val="24"/>
              </w:rPr>
            </w:pPr>
            <w:r>
              <w:rPr>
                <w:rFonts w:hint="eastAsia" w:ascii="仿宋" w:hAnsi="仿宋" w:eastAsia="仿宋" w:cs="仿宋"/>
                <w:kern w:val="0"/>
                <w:sz w:val="24"/>
              </w:rPr>
              <w:t>卫健委（爱国卫生指导服务中心）、各镇街道、各部门、各企事业单位</w:t>
            </w:r>
          </w:p>
        </w:tc>
      </w:tr>
      <w:tr>
        <w:tblPrEx>
          <w:tblCellMar>
            <w:top w:w="15" w:type="dxa"/>
            <w:left w:w="15" w:type="dxa"/>
            <w:bottom w:w="15" w:type="dxa"/>
            <w:right w:w="15" w:type="dxa"/>
          </w:tblCellMar>
        </w:tblPrEx>
        <w:trPr>
          <w:trHeight w:val="154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2.禁止烟草广告。</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辖区未发现烟草广告，1分；其余0分。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（1）提供禁止烟草广告的政策文件。（2）辖区内无烟草广告。</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kern w:val="0"/>
                <w:sz w:val="24"/>
              </w:rPr>
            </w:pPr>
            <w:r>
              <w:rPr>
                <w:rFonts w:hint="eastAsia" w:ascii="仿宋" w:hAnsi="仿宋" w:eastAsia="仿宋" w:cs="仿宋"/>
                <w:kern w:val="0"/>
                <w:sz w:val="24"/>
              </w:rPr>
              <w:t>市场监督管理局、各成员单位</w:t>
            </w:r>
          </w:p>
        </w:tc>
      </w:tr>
      <w:tr>
        <w:tblPrEx>
          <w:tblCellMar>
            <w:top w:w="15" w:type="dxa"/>
            <w:left w:w="15" w:type="dxa"/>
            <w:bottom w:w="15" w:type="dxa"/>
            <w:right w:w="15" w:type="dxa"/>
          </w:tblCellMar>
        </w:tblPrEx>
        <w:trPr>
          <w:trHeight w:val="652"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3.建设无烟党政机关、无烟医疗卫生机构、无烟学校。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（1）覆盖率均达100%，2分；100%以下0分。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（2）抽查发现1个单位不合格，不得分。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各部门有控烟监督员名单（加盖公章）粘贴禁烟标识、禁烟宣传（以上拍照片留底），有巡查记录和劝烟记录。</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kern w:val="0"/>
                <w:sz w:val="24"/>
              </w:rPr>
            </w:pPr>
            <w:r>
              <w:rPr>
                <w:rFonts w:hint="eastAsia" w:ascii="仿宋" w:hAnsi="仿宋" w:eastAsia="仿宋" w:cs="仿宋"/>
                <w:kern w:val="0"/>
                <w:sz w:val="24"/>
              </w:rPr>
              <w:t>卫健委（爱卫指导服务中心）、机关事务服务中心、教体局</w:t>
            </w:r>
          </w:p>
        </w:tc>
      </w:tr>
      <w:tr>
        <w:tblPrEx>
          <w:tblCellMar>
            <w:top w:w="15" w:type="dxa"/>
            <w:left w:w="15" w:type="dxa"/>
            <w:bottom w:w="15" w:type="dxa"/>
            <w:right w:w="15" w:type="dxa"/>
          </w:tblCellMar>
        </w:tblPrEx>
        <w:trPr>
          <w:trHeight w:val="187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4.辖区各级医疗机构开展简短戒烟服务培训并提供简短戒烟服务。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（1）开展简短戒烟服务培训的医疗机构覆盖率≥80%，1分；80%以下0分。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（2）提供简短戒烟服务的医疗机构覆盖率100%，1分；100%以下0分。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二级及以上医疗机构开展戒烟培训（通知、签到表、图片、总结）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kern w:val="0"/>
                <w:sz w:val="24"/>
              </w:rPr>
            </w:pPr>
            <w:r>
              <w:rPr>
                <w:rFonts w:hint="eastAsia" w:ascii="仿宋" w:hAnsi="仿宋" w:eastAsia="仿宋" w:cs="仿宋"/>
                <w:kern w:val="0"/>
                <w:sz w:val="24"/>
              </w:rPr>
              <w:t>卫健委</w:t>
            </w:r>
          </w:p>
        </w:tc>
      </w:tr>
      <w:tr>
        <w:tblPrEx>
          <w:tblCellMar>
            <w:top w:w="15" w:type="dxa"/>
            <w:left w:w="15" w:type="dxa"/>
            <w:bottom w:w="15" w:type="dxa"/>
            <w:right w:w="15" w:type="dxa"/>
          </w:tblCellMar>
        </w:tblPrEx>
        <w:trPr>
          <w:trHeight w:val="1760" w:hRule="atLeast"/>
          <w:jc w:val="center"/>
        </w:trPr>
        <w:tc>
          <w:tcPr>
            <w:tcW w:w="814" w:type="dxa"/>
            <w:vMerge w:val="continue"/>
            <w:tcBorders>
              <w:top w:val="single" w:color="000000" w:sz="4" w:space="0"/>
              <w:left w:val="single" w:color="000000" w:sz="4" w:space="0"/>
              <w:bottom w:val="single" w:color="auto"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sz w:val="24"/>
              </w:rPr>
            </w:pPr>
            <w:r>
              <w:rPr>
                <w:rFonts w:hint="eastAsia" w:ascii="仿宋" w:hAnsi="仿宋" w:eastAsia="仿宋" w:cs="仿宋"/>
                <w:color w:val="000000"/>
                <w:kern w:val="0"/>
                <w:sz w:val="24"/>
              </w:rPr>
              <w:t>5.降低辖区15岁及以上人群吸烟率。</w:t>
            </w:r>
          </w:p>
        </w:tc>
        <w:tc>
          <w:tcPr>
            <w:tcW w:w="5469"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15岁及以上人群吸烟率低于20%，4分；20%-25%，2分；≥25%不得分。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复审：15岁及以上人群吸烟率逐年下降，5年降低10%以上，4分；5年降低5%-10%，2分，其余不得分。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15岁以上成人吸烟率低于25%（提供统计数据）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kern w:val="0"/>
                <w:sz w:val="24"/>
              </w:rPr>
            </w:pPr>
            <w:r>
              <w:rPr>
                <w:rFonts w:hint="eastAsia" w:ascii="仿宋" w:hAnsi="仿宋" w:eastAsia="仿宋" w:cs="仿宋"/>
                <w:kern w:val="0"/>
                <w:sz w:val="24"/>
              </w:rPr>
              <w:t>各镇街道、卫健委（爱卫指导服务中心）</w:t>
            </w:r>
          </w:p>
        </w:tc>
      </w:tr>
      <w:tr>
        <w:tblPrEx>
          <w:tblCellMar>
            <w:top w:w="15" w:type="dxa"/>
            <w:left w:w="15" w:type="dxa"/>
            <w:bottom w:w="15" w:type="dxa"/>
            <w:right w:w="15" w:type="dxa"/>
          </w:tblCellMar>
        </w:tblPrEx>
        <w:trPr>
          <w:trHeight w:val="1318"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三、“三减三健”专项行动</w:t>
            </w:r>
          </w:p>
          <w:p>
            <w:pPr>
              <w:widowControl/>
              <w:spacing w:line="600" w:lineRule="exact"/>
              <w:jc w:val="center"/>
              <w:textAlignment w:val="top"/>
              <w:rPr>
                <w:rFonts w:hint="eastAsia"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（一）开展专题宣传。</w:t>
            </w:r>
          </w:p>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5</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1.开展健康生活方式主题日（周）主题宣传（</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5469" w:type="dxa"/>
            <w:tcBorders>
              <w:top w:val="single" w:color="auto" w:sz="4" w:space="0"/>
              <w:left w:val="single" w:color="auto" w:sz="4" w:space="0"/>
              <w:bottom w:val="single" w:color="auto" w:sz="4" w:space="0"/>
              <w:right w:val="single" w:color="auto" w:sz="4" w:space="0"/>
            </w:tcBorders>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（1）开展健康生活方式日宣传，1分；其余0分。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（2）开展全民营养周、中国减盐周、世界爱牙日、世界骨质疏松日等“三减三健”相关内容的专项宣传，</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宣传活动方案、图片、信息等佐证材料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2.利用传统媒体和新媒体开展健康生活方式的日常宣传（</w:t>
            </w:r>
            <w:r>
              <w:rPr>
                <w:rFonts w:ascii="仿宋" w:hAnsi="仿宋" w:eastAsia="仿宋" w:cs="仿宋"/>
                <w:color w:val="000000"/>
                <w:kern w:val="0"/>
                <w:sz w:val="24"/>
              </w:rPr>
              <w:t>3</w:t>
            </w:r>
            <w:r>
              <w:rPr>
                <w:rFonts w:hint="eastAsia" w:ascii="仿宋" w:hAnsi="仿宋" w:eastAsia="仿宋" w:cs="仿宋"/>
                <w:color w:val="000000"/>
                <w:kern w:val="0"/>
                <w:sz w:val="24"/>
              </w:rPr>
              <w:t>分）。</w:t>
            </w:r>
          </w:p>
        </w:tc>
        <w:tc>
          <w:tcPr>
            <w:tcW w:w="5469" w:type="dxa"/>
            <w:tcBorders>
              <w:top w:val="single" w:color="auto" w:sz="4" w:space="0"/>
              <w:left w:val="single" w:color="auto" w:sz="4" w:space="0"/>
              <w:bottom w:val="single" w:color="auto" w:sz="4" w:space="0"/>
              <w:right w:val="single" w:color="auto" w:sz="4" w:space="0"/>
            </w:tcBorders>
          </w:tcPr>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（1）充分利用传统媒体和新媒体等宣传方式，</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（2）宣传内容覆盖“三减三健”各个方面，</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56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（3）全年至少6次，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宣传佐证材料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宣传部、卫健委、相关成员单位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（二）开展专项活动。</w:t>
            </w:r>
          </w:p>
          <w:p>
            <w:pPr>
              <w:widowControl/>
              <w:spacing w:line="600" w:lineRule="exact"/>
              <w:jc w:val="center"/>
              <w:textAlignment w:val="top"/>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15</w:t>
            </w:r>
            <w:r>
              <w:rPr>
                <w:rFonts w:hint="eastAsia" w:ascii="仿宋" w:hAnsi="仿宋" w:eastAsia="仿宋" w:cs="仿宋"/>
                <w:bCs/>
                <w:color w:val="000000"/>
                <w:kern w:val="0"/>
                <w:sz w:val="24"/>
              </w:rPr>
              <w:t>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1.适宜技术与工具的推广与评价（</w:t>
            </w:r>
            <w:r>
              <w:rPr>
                <w:rFonts w:ascii="仿宋" w:hAnsi="仿宋" w:eastAsia="仿宋" w:cs="仿宋"/>
                <w:color w:val="000000"/>
                <w:kern w:val="0"/>
                <w:sz w:val="24"/>
              </w:rPr>
              <w:t>11</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kern w:val="0"/>
                <w:sz w:val="24"/>
              </w:rPr>
            </w:pPr>
          </w:p>
        </w:tc>
        <w:tc>
          <w:tcPr>
            <w:tcW w:w="5469" w:type="dxa"/>
            <w:tcBorders>
              <w:top w:val="single" w:color="auto" w:sz="4" w:space="0"/>
              <w:left w:val="single" w:color="auto" w:sz="4" w:space="0"/>
              <w:bottom w:val="single" w:color="auto" w:sz="4" w:space="0"/>
              <w:right w:val="single" w:color="auto" w:sz="4" w:space="0"/>
            </w:tcBorders>
          </w:tcPr>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）推广使用健康“小三件”（限量盐勺、限量油壶和健康腰围尺），</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2）</w:t>
            </w:r>
            <w:r>
              <w:rPr>
                <w:rFonts w:hint="eastAsia" w:ascii="仿宋" w:hAnsi="仿宋" w:eastAsia="仿宋" w:cs="仿宋"/>
                <w:color w:val="000000"/>
                <w:kern w:val="0"/>
                <w:sz w:val="24"/>
              </w:rPr>
              <w:t>食盐与食用油的摄入量低于本自治区平均水平</w:t>
            </w:r>
            <w:r>
              <w:rPr>
                <w:rFonts w:ascii="仿宋" w:hAnsi="仿宋" w:eastAsia="仿宋" w:cs="仿宋"/>
                <w:color w:val="000000"/>
                <w:kern w:val="0"/>
                <w:sz w:val="24"/>
              </w:rPr>
              <w:t>3%及以上,各1</w:t>
            </w:r>
            <w:r>
              <w:rPr>
                <w:rFonts w:hint="eastAsia" w:ascii="仿宋" w:hAnsi="仿宋" w:eastAsia="仿宋" w:cs="仿宋"/>
                <w:color w:val="000000"/>
                <w:kern w:val="0"/>
                <w:sz w:val="24"/>
              </w:rPr>
              <w:t>分，共</w:t>
            </w:r>
            <w:r>
              <w:rPr>
                <w:rFonts w:ascii="仿宋" w:hAnsi="仿宋" w:eastAsia="仿宋" w:cs="仿宋"/>
                <w:color w:val="000000"/>
                <w:kern w:val="0"/>
                <w:sz w:val="24"/>
              </w:rPr>
              <w:t>2</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复审：食盐与食用油的摄入量</w:t>
            </w:r>
            <w:r>
              <w:rPr>
                <w:rFonts w:ascii="仿宋" w:hAnsi="仿宋" w:eastAsia="仿宋" w:cs="仿宋"/>
                <w:color w:val="000000"/>
                <w:kern w:val="0"/>
                <w:sz w:val="24"/>
              </w:rPr>
              <w:t>5年下降15%</w:t>
            </w:r>
            <w:r>
              <w:rPr>
                <w:rFonts w:hint="eastAsia" w:ascii="仿宋" w:hAnsi="仿宋" w:eastAsia="仿宋" w:cs="仿宋"/>
                <w:color w:val="000000"/>
                <w:kern w:val="0"/>
                <w:sz w:val="24"/>
              </w:rPr>
              <w:t>以上</w:t>
            </w:r>
            <w:r>
              <w:rPr>
                <w:rFonts w:ascii="仿宋" w:hAnsi="仿宋" w:eastAsia="仿宋" w:cs="仿宋"/>
                <w:color w:val="000000"/>
                <w:kern w:val="0"/>
                <w:sz w:val="24"/>
              </w:rPr>
              <w:t>，</w:t>
            </w:r>
            <w:r>
              <w:rPr>
                <w:rFonts w:hint="eastAsia" w:ascii="仿宋" w:hAnsi="仿宋" w:eastAsia="仿宋" w:cs="仿宋"/>
                <w:color w:val="000000"/>
                <w:kern w:val="0"/>
                <w:sz w:val="24"/>
              </w:rPr>
              <w:t>各</w:t>
            </w:r>
            <w:r>
              <w:rPr>
                <w:rFonts w:ascii="仿宋" w:hAnsi="仿宋" w:eastAsia="仿宋" w:cs="仿宋"/>
                <w:color w:val="000000"/>
                <w:kern w:val="0"/>
                <w:sz w:val="24"/>
              </w:rPr>
              <w:t>1</w:t>
            </w:r>
            <w:r>
              <w:rPr>
                <w:rFonts w:hint="eastAsia" w:ascii="仿宋" w:hAnsi="仿宋" w:eastAsia="仿宋" w:cs="仿宋"/>
                <w:color w:val="000000"/>
                <w:kern w:val="0"/>
                <w:sz w:val="24"/>
              </w:rPr>
              <w:t>分，共</w:t>
            </w:r>
            <w:r>
              <w:rPr>
                <w:rFonts w:ascii="仿宋" w:hAnsi="仿宋" w:eastAsia="仿宋" w:cs="仿宋"/>
                <w:color w:val="000000"/>
                <w:kern w:val="0"/>
                <w:sz w:val="24"/>
              </w:rPr>
              <w:t>2</w:t>
            </w:r>
            <w:r>
              <w:rPr>
                <w:rFonts w:hint="eastAsia" w:ascii="仿宋" w:hAnsi="仿宋" w:eastAsia="仿宋" w:cs="仿宋"/>
                <w:color w:val="000000"/>
                <w:kern w:val="0"/>
                <w:sz w:val="24"/>
              </w:rPr>
              <w:t>分；</w:t>
            </w:r>
            <w:r>
              <w:rPr>
                <w:rFonts w:ascii="仿宋" w:hAnsi="仿宋" w:eastAsia="仿宋" w:cs="仿宋"/>
                <w:color w:val="000000"/>
                <w:kern w:val="0"/>
                <w:sz w:val="24"/>
              </w:rPr>
              <w:t>10%-15%，</w:t>
            </w:r>
            <w:r>
              <w:rPr>
                <w:rFonts w:hint="eastAsia" w:ascii="仿宋" w:hAnsi="仿宋" w:eastAsia="仿宋" w:cs="仿宋"/>
                <w:color w:val="000000"/>
                <w:kern w:val="0"/>
                <w:sz w:val="24"/>
              </w:rPr>
              <w:t>各</w:t>
            </w:r>
            <w:r>
              <w:rPr>
                <w:rFonts w:ascii="仿宋" w:hAnsi="仿宋" w:eastAsia="仿宋" w:cs="仿宋"/>
                <w:color w:val="000000"/>
                <w:kern w:val="0"/>
                <w:sz w:val="24"/>
              </w:rPr>
              <w:t>0.5</w:t>
            </w:r>
            <w:r>
              <w:rPr>
                <w:rFonts w:hint="eastAsia" w:ascii="仿宋" w:hAnsi="仿宋" w:eastAsia="仿宋" w:cs="仿宋"/>
                <w:color w:val="000000"/>
                <w:kern w:val="0"/>
                <w:sz w:val="24"/>
              </w:rPr>
              <w:t>分，共</w:t>
            </w:r>
            <w:r>
              <w:rPr>
                <w:rFonts w:ascii="仿宋" w:hAnsi="仿宋" w:eastAsia="仿宋" w:cs="仿宋"/>
                <w:color w:val="000000"/>
                <w:kern w:val="0"/>
                <w:sz w:val="24"/>
              </w:rPr>
              <w:t>1分</w:t>
            </w:r>
            <w:r>
              <w:rPr>
                <w:rFonts w:hint="eastAsia" w:ascii="仿宋" w:hAnsi="仿宋" w:eastAsia="仿宋" w:cs="仿宋"/>
                <w:color w:val="000000"/>
                <w:kern w:val="0"/>
                <w:sz w:val="24"/>
              </w:rPr>
              <w:t>；其余</w:t>
            </w:r>
            <w:r>
              <w:rPr>
                <w:rFonts w:ascii="仿宋" w:hAnsi="仿宋" w:eastAsia="仿宋" w:cs="仿宋"/>
                <w:color w:val="000000"/>
                <w:kern w:val="0"/>
                <w:sz w:val="24"/>
              </w:rPr>
              <w:t>0分。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3）</w:t>
            </w:r>
            <w:r>
              <w:rPr>
                <w:rFonts w:hint="eastAsia" w:ascii="仿宋" w:hAnsi="仿宋" w:eastAsia="仿宋" w:cs="仿宋"/>
                <w:color w:val="000000"/>
                <w:kern w:val="0"/>
                <w:sz w:val="24"/>
              </w:rPr>
              <w:t>辖区内儿童窝沟封闭服务覆盖率≥</w:t>
            </w:r>
            <w:r>
              <w:rPr>
                <w:rFonts w:ascii="仿宋" w:hAnsi="仿宋" w:eastAsia="仿宋" w:cs="仿宋"/>
                <w:color w:val="000000"/>
                <w:kern w:val="0"/>
                <w:sz w:val="24"/>
              </w:rPr>
              <w:t>60%，3分；60%以下0分。</w:t>
            </w:r>
          </w:p>
          <w:p>
            <w:pPr>
              <w:widowControl/>
              <w:tabs>
                <w:tab w:val="left" w:pos="312"/>
              </w:tabs>
              <w:spacing w:line="600" w:lineRule="exact"/>
              <w:ind w:firstLine="600" w:firstLineChars="250"/>
              <w:textAlignment w:val="top"/>
              <w:rPr>
                <w:rFonts w:ascii="仿宋" w:hAnsi="仿宋" w:eastAsia="仿宋" w:cs="仿宋"/>
                <w:color w:val="000000"/>
                <w:kern w:val="0"/>
                <w:sz w:val="24"/>
              </w:rPr>
            </w:pPr>
            <w:r>
              <w:rPr>
                <w:rFonts w:ascii="仿宋" w:hAnsi="仿宋" w:eastAsia="仿宋" w:cs="仿宋"/>
                <w:color w:val="000000"/>
                <w:kern w:val="0"/>
                <w:sz w:val="24"/>
              </w:rPr>
              <w:t>辖区12岁儿童患</w:t>
            </w:r>
            <w:r>
              <w:rPr>
                <w:rFonts w:hint="eastAsia" w:ascii="仿宋" w:hAnsi="仿宋" w:eastAsia="仿宋" w:cs="仿宋"/>
                <w:color w:val="000000"/>
                <w:kern w:val="0"/>
                <w:sz w:val="24"/>
              </w:rPr>
              <w:t>龋率</w:t>
            </w:r>
            <w:r>
              <w:rPr>
                <w:rFonts w:ascii="仿宋" w:hAnsi="仿宋" w:eastAsia="仿宋" w:cs="仿宋"/>
                <w:color w:val="000000"/>
                <w:kern w:val="0"/>
                <w:sz w:val="24"/>
              </w:rPr>
              <w:t>&lt;25%，3分；其余0分。</w:t>
            </w:r>
          </w:p>
          <w:p>
            <w:pPr>
              <w:widowControl/>
              <w:tabs>
                <w:tab w:val="left" w:pos="312"/>
              </w:tabs>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4）</w:t>
            </w:r>
            <w:r>
              <w:rPr>
                <w:rFonts w:hint="eastAsia" w:ascii="仿宋" w:hAnsi="仿宋" w:eastAsia="仿宋" w:cs="仿宋"/>
                <w:color w:val="000000"/>
                <w:kern w:val="0"/>
                <w:sz w:val="24"/>
              </w:rPr>
              <w:t>将骨密度检测纳入常规体检，逐年提高</w:t>
            </w:r>
            <w:r>
              <w:rPr>
                <w:rFonts w:ascii="仿宋" w:hAnsi="仿宋" w:eastAsia="仿宋" w:cs="仿宋"/>
                <w:color w:val="000000"/>
                <w:kern w:val="0"/>
                <w:sz w:val="24"/>
              </w:rPr>
              <w:t>50</w:t>
            </w:r>
            <w:r>
              <w:rPr>
                <w:rFonts w:hint="eastAsia" w:ascii="仿宋" w:hAnsi="仿宋" w:eastAsia="仿宋" w:cs="仿宋"/>
                <w:color w:val="000000"/>
                <w:kern w:val="0"/>
                <w:sz w:val="24"/>
              </w:rPr>
              <w:t>岁及以上人群骨密度检测率</w:t>
            </w:r>
            <w:r>
              <w:rPr>
                <w:rFonts w:ascii="仿宋" w:hAnsi="仿宋" w:eastAsia="仿宋" w:cs="仿宋"/>
                <w:color w:val="000000"/>
                <w:kern w:val="0"/>
                <w:sz w:val="24"/>
              </w:rPr>
              <w:t>,2</w:t>
            </w:r>
            <w:r>
              <w:rPr>
                <w:rFonts w:hint="eastAsia" w:ascii="仿宋" w:hAnsi="仿宋" w:eastAsia="仿宋" w:cs="仿宋"/>
                <w:color w:val="000000"/>
                <w:kern w:val="0"/>
                <w:sz w:val="24"/>
              </w:rPr>
              <w:t>分；其余</w:t>
            </w:r>
            <w:r>
              <w:rPr>
                <w:rFonts w:ascii="仿宋" w:hAnsi="仿宋" w:eastAsia="仿宋" w:cs="仿宋"/>
                <w:color w:val="000000"/>
                <w:kern w:val="0"/>
                <w:sz w:val="24"/>
              </w:rPr>
              <w:t>0</w:t>
            </w:r>
            <w:r>
              <w:rPr>
                <w:rFonts w:hint="eastAsia" w:ascii="仿宋" w:hAnsi="仿宋" w:eastAsia="仿宋" w:cs="仿宋"/>
                <w:color w:val="000000"/>
                <w:kern w:val="0"/>
                <w:sz w:val="24"/>
              </w:rPr>
              <w:t>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11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提供统计数据及分析材料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卫健委（疾控中心）、教体局、医保局、相关成员单位</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bCs/>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2.健康生活方式指导员能力建设。（</w:t>
            </w:r>
            <w:r>
              <w:rPr>
                <w:rFonts w:ascii="仿宋" w:hAnsi="仿宋" w:eastAsia="仿宋" w:cs="仿宋"/>
                <w:color w:val="000000"/>
                <w:kern w:val="0"/>
                <w:sz w:val="24"/>
              </w:rPr>
              <w:t>2</w:t>
            </w:r>
            <w:r>
              <w:rPr>
                <w:rFonts w:hint="eastAsia" w:ascii="仿宋" w:hAnsi="仿宋" w:eastAsia="仿宋" w:cs="仿宋"/>
                <w:color w:val="000000"/>
                <w:kern w:val="0"/>
                <w:sz w:val="24"/>
              </w:rPr>
              <w:t>分）</w:t>
            </w:r>
          </w:p>
          <w:p>
            <w:pPr>
              <w:widowControl/>
              <w:spacing w:line="320" w:lineRule="exact"/>
              <w:textAlignment w:val="top"/>
              <w:rPr>
                <w:rFonts w:ascii="仿宋" w:hAnsi="仿宋" w:eastAsia="仿宋" w:cs="仿宋"/>
                <w:color w:val="000000"/>
                <w:kern w:val="0"/>
                <w:sz w:val="24"/>
              </w:rPr>
            </w:pPr>
          </w:p>
        </w:tc>
        <w:tc>
          <w:tcPr>
            <w:tcW w:w="5469" w:type="dxa"/>
            <w:tcBorders>
              <w:top w:val="single" w:color="auto" w:sz="4" w:space="0"/>
              <w:left w:val="single" w:color="auto" w:sz="4" w:space="0"/>
              <w:bottom w:val="single" w:color="000000" w:sz="4" w:space="0"/>
              <w:right w:val="single" w:color="000000" w:sz="4" w:space="0"/>
            </w:tcBorders>
          </w:tcPr>
          <w:p>
            <w:pPr>
              <w:widowControl/>
              <w:tabs>
                <w:tab w:val="left" w:pos="312"/>
              </w:tabs>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（1）在健康社区的社区工作者中至少有1名健康生活方式指导员，</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复审：每年至少招募并培训5名健康生活方式指导员，</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（2）每年举办或者组织参加“三减三健”相关培训至少一次，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（1）提供名单、工作记录</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（2）培训通知、签到、影像资料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街道、卫健委（区疾控中心）</w:t>
            </w:r>
          </w:p>
        </w:tc>
      </w:tr>
      <w:tr>
        <w:tblPrEx>
          <w:tblCellMar>
            <w:top w:w="15" w:type="dxa"/>
            <w:left w:w="15" w:type="dxa"/>
            <w:bottom w:w="15" w:type="dxa"/>
            <w:right w:w="15" w:type="dxa"/>
          </w:tblCellMar>
        </w:tblPrEx>
        <w:trPr>
          <w:trHeight w:val="50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color w:val="000000"/>
                <w:kern w:val="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top"/>
              <w:rPr>
                <w:rFonts w:ascii="仿宋" w:hAnsi="仿宋" w:eastAsia="仿宋" w:cs="仿宋"/>
                <w:color w:val="000000"/>
                <w:kern w:val="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3.健康生活方式指导员的五进活动。（</w:t>
            </w:r>
            <w:r>
              <w:rPr>
                <w:rFonts w:ascii="仿宋" w:hAnsi="仿宋" w:eastAsia="仿宋" w:cs="仿宋"/>
                <w:color w:val="000000"/>
                <w:kern w:val="0"/>
                <w:sz w:val="24"/>
              </w:rPr>
              <w:t>2</w:t>
            </w:r>
            <w:r>
              <w:rPr>
                <w:rFonts w:hint="eastAsia" w:ascii="仿宋" w:hAnsi="仿宋" w:eastAsia="仿宋" w:cs="仿宋"/>
                <w:color w:val="000000"/>
                <w:kern w:val="0"/>
                <w:sz w:val="24"/>
              </w:rPr>
              <w:t>分）</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 xml:space="preserve">覆盖家庭、社区、学校、单位、医院等五类场所， </w:t>
            </w:r>
            <w:r>
              <w:rPr>
                <w:rFonts w:ascii="仿宋" w:hAnsi="仿宋" w:eastAsia="仿宋" w:cs="仿宋"/>
                <w:color w:val="000000"/>
                <w:kern w:val="0"/>
                <w:sz w:val="24"/>
              </w:rPr>
              <w:t>1分</w:t>
            </w:r>
            <w:r>
              <w:rPr>
                <w:rFonts w:hint="eastAsia" w:ascii="仿宋" w:hAnsi="仿宋" w:eastAsia="仿宋" w:cs="仿宋"/>
                <w:color w:val="000000"/>
                <w:kern w:val="0"/>
                <w:sz w:val="24"/>
              </w:rPr>
              <w:t>。</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（2）每年至少开展2项特色现场活动，</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bCs/>
                <w:color w:val="000000"/>
                <w:kern w:val="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活动相关佐证材料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各镇街道、教体局、卫健委、相关成员单位</w:t>
            </w:r>
          </w:p>
        </w:tc>
      </w:tr>
      <w:tr>
        <w:tblPrEx>
          <w:tblCellMar>
            <w:top w:w="15" w:type="dxa"/>
            <w:left w:w="15" w:type="dxa"/>
            <w:bottom w:w="15" w:type="dxa"/>
            <w:right w:w="15" w:type="dxa"/>
          </w:tblCellMar>
        </w:tblPrEx>
        <w:trPr>
          <w:trHeight w:val="1220"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四、体系整合</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（30分）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（一）建立防治结合、分工协作、优势互补、上下联动的慢性病综合防治体系。</w:t>
            </w:r>
            <w:r>
              <w:rPr>
                <w:rFonts w:hint="eastAsia" w:ascii="仿宋" w:hAnsi="仿宋" w:eastAsia="仿宋" w:cs="仿宋"/>
                <w:bCs/>
                <w:color w:val="000000"/>
                <w:kern w:val="0"/>
                <w:sz w:val="24"/>
              </w:rPr>
              <w:t>（15分）</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1.建立完善慢性病防控服务体系和分工明确、上下联动的工作机制。</w:t>
            </w:r>
          </w:p>
        </w:tc>
        <w:tc>
          <w:tcPr>
            <w:tcW w:w="5469" w:type="dxa"/>
            <w:tcBorders>
              <w:top w:val="single" w:color="000000" w:sz="4" w:space="0"/>
              <w:left w:val="single" w:color="auto" w:sz="4" w:space="0"/>
              <w:bottom w:val="single" w:color="000000" w:sz="4" w:space="0"/>
              <w:right w:val="single" w:color="000000" w:sz="4" w:space="0"/>
            </w:tcBorders>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（1）辖区卫生健康行政部门制定实施慢性病防控服务体系建设的方案，4分；其余0分。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（2）明确专业公共卫生机构、医院和基层医疗卫生机构职责，4分；其余0分。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8</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提供慢性病防控体系建设文件(领导小组、职责分工）</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257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auto"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2.建立完善信息共享、互联互通等的工作机制，推进慢性病防、治、管的整合。</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（1）卫生健康行政部门负责督导慢性病防控服务体系的有效运行，2分；其余0分。</w:t>
            </w:r>
          </w:p>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（2）建立完善慢性病防控服务体系的运行、质控、绩效评价机制，3分；其余0分。</w:t>
            </w:r>
          </w:p>
          <w:p>
            <w:pPr>
              <w:widowControl/>
              <w:spacing w:line="48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（3）疾控机构、医院对基层医疗卫生机构进行的技术指导和对口支援，建立有效的合作关系，2分；其余0分。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7</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（1)有督导记录（2）建立机制(3)指导有图片、讲义、总结等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281"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（二）加强慢性病防控队伍建设。</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（15分）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1.加强疾病预防控制机构慢性病防控专业技术人员能力建设。</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疾病预防控制机构每年组织本单位慢性病防控专业技术人员参加专业培训不少于2次，5分；1次，2分；未接受培训不得分。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提供文件（明确科室、职责）培训资料（通知、签到表、图片、总结)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393"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auto"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2.提升二级以上医院公共卫生专业人员能力。</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（1）二级及以上医院每年组织本单位承担疾病预防控制工作的专业技术人员接受专业培训不少于2次，2分；1次，1分；未接受培训不得分。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（2）二级及以上医院每年组织对辖区基层医疗机构的慢病专业培训不少于2次，2分；1次，1分；未接受培训不得分。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有文件（领导小组、慢性病防控办公室、公共卫生人员、职责）</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培训有（通知、签到表、照片、总结）</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436"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auto" w:sz="4" w:space="0"/>
              <w:bottom w:val="single" w:color="auto" w:sz="4" w:space="0"/>
              <w:right w:val="single" w:color="000000" w:sz="4" w:space="0"/>
            </w:tcBorders>
            <w:vAlign w:val="center"/>
          </w:tcPr>
          <w:p>
            <w:pPr>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auto" w:sz="4" w:space="0"/>
              <w:right w:val="single" w:color="000000" w:sz="4" w:space="0"/>
            </w:tcBorders>
            <w:vAlign w:val="center"/>
          </w:tcPr>
          <w:p>
            <w:pPr>
              <w:widowControl/>
              <w:spacing w:line="560" w:lineRule="exact"/>
              <w:textAlignment w:val="top"/>
              <w:rPr>
                <w:rFonts w:ascii="仿宋" w:hAnsi="仿宋" w:eastAsia="仿宋" w:cs="仿宋"/>
                <w:color w:val="000000"/>
                <w:sz w:val="24"/>
              </w:rPr>
            </w:pPr>
            <w:r>
              <w:rPr>
                <w:rFonts w:hint="eastAsia" w:ascii="仿宋" w:hAnsi="仿宋" w:eastAsia="仿宋" w:cs="仿宋"/>
                <w:color w:val="000000"/>
                <w:spacing w:val="-10"/>
                <w:kern w:val="0"/>
                <w:sz w:val="24"/>
              </w:rPr>
              <w:t>3.加强基层医疗卫生机构公共卫生服务能力建设，承担所在区域慢性</w:t>
            </w:r>
            <w:r>
              <w:rPr>
                <w:rFonts w:hint="eastAsia" w:ascii="仿宋" w:hAnsi="仿宋" w:eastAsia="仿宋" w:cs="仿宋"/>
                <w:color w:val="000000"/>
                <w:kern w:val="0"/>
                <w:sz w:val="24"/>
              </w:rPr>
              <w:t>病防控工作。</w:t>
            </w:r>
          </w:p>
        </w:tc>
        <w:tc>
          <w:tcPr>
            <w:tcW w:w="5469" w:type="dxa"/>
            <w:tcBorders>
              <w:top w:val="single" w:color="000000" w:sz="4" w:space="0"/>
              <w:left w:val="single" w:color="000000" w:sz="4" w:space="0"/>
              <w:bottom w:val="single" w:color="000000" w:sz="4" w:space="0"/>
              <w:right w:val="single" w:color="000000" w:sz="4" w:space="0"/>
            </w:tcBorders>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（1）基层医疗卫生机构每年接受上级疾控机构慢性病防控专业技术培训不少于2次，2分；1次，1分；未接受培训不得分。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（2）基层医疗卫生机构每年接受上级医疗机构慢性病防治专业技术培训不少于2次，2分；1次，1分；未接受培训不得分。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（3）基层医疗卫生机构每年组织对村卫生室或社区卫生服务站医护人员的培训不少于2次，2分；1次，1分；未接受培训不得分。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6</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有文件（慢性病防控办公室、专职公共卫生人员）</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培训有（通知、签到表、图片、总结等）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341" w:hRule="atLeast"/>
          <w:jc w:val="center"/>
        </w:trPr>
        <w:tc>
          <w:tcPr>
            <w:tcW w:w="8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五、健康教育与健康促进</w:t>
            </w: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p>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五、健康教育与健康促进</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（一）通过多种渠道积极开展慢性病防治全民健康教育。</w:t>
            </w:r>
          </w:p>
          <w:p>
            <w:pPr>
              <w:widowControl/>
              <w:spacing w:line="600" w:lineRule="exact"/>
              <w:jc w:val="center"/>
              <w:textAlignment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6</w:t>
            </w:r>
            <w:r>
              <w:rPr>
                <w:rFonts w:hint="eastAsia" w:ascii="仿宋" w:hAnsi="仿宋" w:eastAsia="仿宋" w:cs="仿宋"/>
                <w:bCs/>
                <w:color w:val="000000"/>
                <w:kern w:val="0"/>
                <w:sz w:val="24"/>
              </w:rPr>
              <w:t>分）</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1.广泛开展健康教育，定期传播慢性病防治和健康素养知识和技能。</w:t>
            </w:r>
          </w:p>
        </w:tc>
        <w:tc>
          <w:tcPr>
            <w:tcW w:w="5469"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（1）当地社会主流媒体和互联网等新媒体广泛开展慢性病防治和健康教育，每月不少于 2 次，</w:t>
            </w:r>
            <w:r>
              <w:rPr>
                <w:rFonts w:ascii="仿宋" w:hAnsi="仿宋" w:eastAsia="仿宋" w:cs="仿宋"/>
                <w:color w:val="000000"/>
                <w:kern w:val="0"/>
                <w:sz w:val="24"/>
              </w:rPr>
              <w:t>0.5</w:t>
            </w:r>
            <w:r>
              <w:rPr>
                <w:rFonts w:hint="eastAsia" w:ascii="仿宋" w:hAnsi="仿宋" w:eastAsia="仿宋" w:cs="仿宋"/>
                <w:color w:val="000000"/>
                <w:kern w:val="0"/>
                <w:sz w:val="24"/>
              </w:rPr>
              <w:t xml:space="preserve"> 分；其余 0 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（2）建立医疗机构和医务人员开展健康教育和健康促进的绩效考核机制，</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（1）提供多种方式开展健康教育的佐证（2）医疗机构开展健康促进绩效考核机制</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宣传部、卫健委、相关成员单位</w:t>
            </w:r>
          </w:p>
        </w:tc>
      </w:tr>
      <w:tr>
        <w:tblPrEx>
          <w:tblCellMar>
            <w:top w:w="15" w:type="dxa"/>
            <w:left w:w="15" w:type="dxa"/>
            <w:bottom w:w="15" w:type="dxa"/>
            <w:right w:w="15" w:type="dxa"/>
          </w:tblCellMar>
        </w:tblPrEx>
        <w:trPr>
          <w:trHeight w:val="1555" w:hRule="atLeast"/>
          <w:jc w:val="center"/>
        </w:trPr>
        <w:tc>
          <w:tcPr>
            <w:tcW w:w="814"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2.开展形式多样的健康教育与健康促进活动，扩大传播慢性病防治和慢病健康素养知识和技能的范围。</w:t>
            </w:r>
          </w:p>
        </w:tc>
        <w:tc>
          <w:tcPr>
            <w:tcW w:w="5469" w:type="dxa"/>
            <w:tcBorders>
              <w:top w:val="single" w:color="000000" w:sz="4" w:space="0"/>
              <w:left w:val="single" w:color="auto" w:sz="4" w:space="0"/>
              <w:bottom w:val="single" w:color="auto"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辖区每年至少开展</w:t>
            </w:r>
            <w:r>
              <w:rPr>
                <w:rFonts w:ascii="仿宋" w:hAnsi="仿宋" w:eastAsia="仿宋" w:cs="仿宋"/>
                <w:color w:val="000000"/>
                <w:kern w:val="0"/>
                <w:sz w:val="24"/>
              </w:rPr>
              <w:t>6</w:t>
            </w:r>
            <w:r>
              <w:rPr>
                <w:rFonts w:hint="eastAsia" w:ascii="仿宋" w:hAnsi="仿宋" w:eastAsia="仿宋" w:cs="仿宋"/>
                <w:color w:val="000000"/>
                <w:kern w:val="0"/>
                <w:sz w:val="24"/>
              </w:rPr>
              <w:t>次围绕全国肿瘤防治宣传周、世界无烟日、全国高血压日、世界卒中日、联合国糖尿病日、世界慢阻肺日等慢性病防治主题宣传日的形式多样的健康教育与健康促进宣传活动，每次0</w:t>
            </w:r>
            <w:r>
              <w:rPr>
                <w:rFonts w:ascii="仿宋" w:hAnsi="仿宋" w:eastAsia="仿宋" w:cs="仿宋"/>
                <w:color w:val="000000"/>
                <w:kern w:val="0"/>
                <w:sz w:val="24"/>
              </w:rPr>
              <w:t>.5</w:t>
            </w:r>
            <w:r>
              <w:rPr>
                <w:rFonts w:hint="eastAsia" w:ascii="仿宋" w:hAnsi="仿宋" w:eastAsia="仿宋" w:cs="仿宋"/>
                <w:color w:val="000000"/>
                <w:kern w:val="0"/>
                <w:sz w:val="24"/>
              </w:rPr>
              <w:t>分，共</w:t>
            </w:r>
            <w:r>
              <w:rPr>
                <w:rFonts w:ascii="仿宋" w:hAnsi="仿宋" w:eastAsia="仿宋" w:cs="仿宋"/>
                <w:color w:val="000000"/>
                <w:kern w:val="0"/>
                <w:sz w:val="24"/>
              </w:rPr>
              <w:t>3</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各镇街道、村、居委员会，积极参与慢性病防控知识宣传，（通知、图片、信息）</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宣传部、卫健委(疾控中心）</w:t>
            </w:r>
          </w:p>
        </w:tc>
      </w:tr>
      <w:tr>
        <w:tblPrEx>
          <w:tblCellMar>
            <w:top w:w="15" w:type="dxa"/>
            <w:left w:w="15" w:type="dxa"/>
            <w:bottom w:w="15" w:type="dxa"/>
            <w:right w:w="15" w:type="dxa"/>
          </w:tblCellMar>
        </w:tblPrEx>
        <w:trPr>
          <w:trHeight w:val="425" w:hRule="atLeast"/>
          <w:jc w:val="center"/>
        </w:trPr>
        <w:tc>
          <w:tcPr>
            <w:tcW w:w="814" w:type="dxa"/>
            <w:vMerge w:val="continue"/>
            <w:tcBorders>
              <w:top w:val="single" w:color="auto" w:sz="4" w:space="0"/>
              <w:left w:val="single" w:color="000000" w:sz="4" w:space="0"/>
              <w:bottom w:val="single" w:color="000000" w:sz="4" w:space="0"/>
              <w:right w:val="single" w:color="auto"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000000" w:sz="4" w:space="0"/>
              <w:right w:val="single" w:color="auto"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3.开展幼儿园、中小学校健康行为方式教育。</w:t>
            </w:r>
          </w:p>
        </w:tc>
        <w:tc>
          <w:tcPr>
            <w:tcW w:w="546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（1）幼儿园、中小学校开设健康教育课覆盖率达100%，</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（2）健康教育课包括营养均衡、口腔保健、健康体重、视力保护、心理健康、伤害预防（溺水、烧烫伤）等内容，每学期以班级为单位，课程≥6学时，</w:t>
            </w:r>
            <w:r>
              <w:rPr>
                <w:rFonts w:ascii="仿宋" w:hAnsi="仿宋" w:eastAsia="仿宋" w:cs="仿宋"/>
                <w:color w:val="000000"/>
                <w:kern w:val="0"/>
                <w:sz w:val="24"/>
              </w:rPr>
              <w:t>0.5</w:t>
            </w:r>
            <w:r>
              <w:rPr>
                <w:rFonts w:hint="eastAsia" w:ascii="仿宋" w:hAnsi="仿宋" w:eastAsia="仿宋" w:cs="仿宋"/>
                <w:color w:val="000000"/>
                <w:kern w:val="0"/>
                <w:sz w:val="24"/>
              </w:rPr>
              <w:t>分；低于6学时0分。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（3）寄宿制中小学校或600名学生以上的非寄宿制中小学校配备专职卫生专业技术人员、600名学生以下的非寄宿制中小学校配备专兼职保健教师或卫生专业技术人员的比例达到70%，0.5分；其余0分。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（4）配备专兼职心理健康工作人员的中小学校比例达到80%，0.5分；其余0分。</w:t>
            </w: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健康教育工作计划，总结，讲座资料（通知、内容、课件、照片、总结）；健康咨询登记，健康教育专栏照片等资料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w:t>
            </w:r>
          </w:p>
        </w:tc>
      </w:tr>
      <w:tr>
        <w:tblPrEx>
          <w:tblCellMar>
            <w:top w:w="15" w:type="dxa"/>
            <w:left w:w="15" w:type="dxa"/>
            <w:bottom w:w="15" w:type="dxa"/>
            <w:right w:w="15" w:type="dxa"/>
          </w:tblCellMar>
        </w:tblPrEx>
        <w:trPr>
          <w:trHeight w:val="116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（二）提高居民重点慢性病核心知识知晓率和居民健康素养水平。</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9</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1.提高居民重点慢性病核心知识知晓率。</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居民重点慢性病核心知识知晓率≥</w:t>
            </w:r>
            <w:r>
              <w:rPr>
                <w:rFonts w:ascii="仿宋" w:hAnsi="仿宋" w:eastAsia="仿宋" w:cs="仿宋"/>
                <w:color w:val="000000"/>
                <w:kern w:val="0"/>
                <w:sz w:val="24"/>
              </w:rPr>
              <w:t>70%，5分；60-</w:t>
            </w:r>
            <w:r>
              <w:rPr>
                <w:rFonts w:hint="eastAsia" w:ascii="仿宋" w:hAnsi="仿宋" w:eastAsia="仿宋" w:cs="仿宋"/>
                <w:color w:val="000000"/>
                <w:kern w:val="0"/>
                <w:sz w:val="24"/>
              </w:rPr>
              <w:t>70</w:t>
            </w:r>
            <w:r>
              <w:rPr>
                <w:rFonts w:ascii="仿宋" w:hAnsi="仿宋" w:eastAsia="仿宋" w:cs="仿宋"/>
                <w:color w:val="000000"/>
                <w:kern w:val="0"/>
                <w:sz w:val="24"/>
              </w:rPr>
              <w:t>%，</w:t>
            </w:r>
            <w:r>
              <w:rPr>
                <w:rFonts w:hint="eastAsia" w:ascii="仿宋" w:hAnsi="仿宋" w:eastAsia="仿宋" w:cs="仿宋"/>
                <w:color w:val="000000"/>
                <w:kern w:val="0"/>
                <w:sz w:val="24"/>
              </w:rPr>
              <w:t>2</w:t>
            </w:r>
            <w:r>
              <w:rPr>
                <w:rFonts w:ascii="仿宋" w:hAnsi="仿宋" w:eastAsia="仿宋" w:cs="仿宋"/>
                <w:color w:val="000000"/>
                <w:kern w:val="0"/>
                <w:sz w:val="24"/>
              </w:rPr>
              <w:t>分；60%以下0分。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社会因素调查报告及相关佐证材料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卫健委、各镇街道</w:t>
            </w:r>
          </w:p>
        </w:tc>
      </w:tr>
      <w:tr>
        <w:tblPrEx>
          <w:tblCellMar>
            <w:top w:w="15" w:type="dxa"/>
            <w:left w:w="15" w:type="dxa"/>
            <w:bottom w:w="15" w:type="dxa"/>
            <w:right w:w="15" w:type="dxa"/>
          </w:tblCellMar>
        </w:tblPrEx>
        <w:trPr>
          <w:trHeight w:val="110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2.提高居民健康素养水平。</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居民健康素养水平≥25%，4 分；20-25%，2 分；20%以下不得分。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社会因素调查报告及相关佐证材料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卫健委、各镇街道</w:t>
            </w:r>
          </w:p>
        </w:tc>
      </w:tr>
      <w:tr>
        <w:tblPrEx>
          <w:tblCellMar>
            <w:top w:w="15" w:type="dxa"/>
            <w:left w:w="15" w:type="dxa"/>
            <w:bottom w:w="15" w:type="dxa"/>
            <w:right w:w="15" w:type="dxa"/>
          </w:tblCellMar>
        </w:tblPrEx>
        <w:trPr>
          <w:trHeight w:val="31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（三）发挥社会团体和群众组织在慢性病防控中的积极作用。</w:t>
            </w:r>
            <w:r>
              <w:rPr>
                <w:rFonts w:hint="eastAsia" w:ascii="仿宋" w:hAnsi="仿宋" w:eastAsia="仿宋" w:cs="仿宋"/>
                <w:bCs/>
                <w:color w:val="000000"/>
                <w:kern w:val="0"/>
                <w:sz w:val="24"/>
              </w:rPr>
              <w:t>（</w:t>
            </w:r>
            <w:r>
              <w:rPr>
                <w:rFonts w:ascii="仿宋" w:hAnsi="仿宋" w:eastAsia="仿宋" w:cs="仿宋"/>
                <w:bCs/>
                <w:color w:val="000000"/>
                <w:kern w:val="0"/>
                <w:sz w:val="24"/>
              </w:rPr>
              <w:t>5</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1.辖区开展群众性健身运动。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（1）有5个及以上的群众健身团体，</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（2）配有体育指导员和志愿者，</w:t>
            </w:r>
            <w:r>
              <w:rPr>
                <w:rFonts w:ascii="仿宋" w:hAnsi="仿宋" w:eastAsia="仿宋" w:cs="仿宋"/>
                <w:color w:val="000000"/>
                <w:kern w:val="0"/>
                <w:sz w:val="24"/>
              </w:rPr>
              <w:t>0.5</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制定工作方案、计划、列出群众健身团体名单等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教体局、各镇街道</w:t>
            </w:r>
          </w:p>
        </w:tc>
      </w:tr>
      <w:tr>
        <w:tblPrEx>
          <w:tblCellMar>
            <w:top w:w="15" w:type="dxa"/>
            <w:left w:w="15" w:type="dxa"/>
            <w:bottom w:w="15" w:type="dxa"/>
            <w:right w:w="15" w:type="dxa"/>
          </w:tblCellMar>
        </w:tblPrEx>
        <w:trPr>
          <w:trHeight w:val="66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2.每年至少开展1次由社会团体组织和参与的集体性健身活动。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定期开展由社会团体组织、企事业单位承担参与并积极支持的健身活动，每年≥1次，</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通知、信息、图片</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教体局、民政局、总工会</w:t>
            </w:r>
          </w:p>
        </w:tc>
      </w:tr>
      <w:tr>
        <w:tblPrEx>
          <w:tblCellMar>
            <w:top w:w="15" w:type="dxa"/>
            <w:left w:w="15" w:type="dxa"/>
            <w:bottom w:w="15" w:type="dxa"/>
            <w:right w:w="15" w:type="dxa"/>
          </w:tblCellMar>
        </w:tblPrEx>
        <w:trPr>
          <w:trHeight w:val="905"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3.鼓励社区慢性病患者积极参与社区自我健康管理活动。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有自我健康管理小组并规范开展的社区覆盖率≥50%，</w:t>
            </w:r>
            <w:r>
              <w:rPr>
                <w:rFonts w:ascii="仿宋" w:hAnsi="仿宋" w:eastAsia="仿宋" w:cs="仿宋"/>
                <w:color w:val="000000"/>
                <w:kern w:val="0"/>
                <w:sz w:val="24"/>
              </w:rPr>
              <w:t>3</w:t>
            </w:r>
            <w:r>
              <w:rPr>
                <w:rFonts w:hint="eastAsia" w:ascii="仿宋" w:hAnsi="仿宋" w:eastAsia="仿宋" w:cs="仿宋"/>
                <w:color w:val="000000"/>
                <w:kern w:val="0"/>
                <w:sz w:val="24"/>
              </w:rPr>
              <w:t>分；40-50%，2分；40%以下0分。不符合技术规范要求或每年参加人数不变者分数减半。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统计数据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各镇街道</w:t>
            </w:r>
          </w:p>
        </w:tc>
      </w:tr>
      <w:tr>
        <w:tblPrEx>
          <w:tblCellMar>
            <w:top w:w="15" w:type="dxa"/>
            <w:left w:w="15" w:type="dxa"/>
            <w:bottom w:w="15" w:type="dxa"/>
            <w:right w:w="15" w:type="dxa"/>
          </w:tblCellMar>
        </w:tblPrEx>
        <w:trPr>
          <w:trHeight w:val="1933"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textAlignment w:val="center"/>
              <w:rPr>
                <w:rFonts w:ascii="仿宋" w:hAnsi="仿宋" w:eastAsia="仿宋" w:cs="仿宋"/>
                <w:bCs/>
                <w:color w:val="000000"/>
                <w:kern w:val="0"/>
                <w:sz w:val="24"/>
              </w:rPr>
            </w:pPr>
          </w:p>
          <w:p>
            <w:pPr>
              <w:widowControl/>
              <w:spacing w:line="3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六、慢性病全程管理</w:t>
            </w:r>
          </w:p>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70</w:t>
            </w:r>
            <w:r>
              <w:rPr>
                <w:rFonts w:hint="eastAsia" w:ascii="仿宋" w:hAnsi="仿宋" w:eastAsia="仿宋" w:cs="仿宋"/>
                <w:bCs/>
                <w:color w:val="000000"/>
                <w:kern w:val="0"/>
                <w:sz w:val="24"/>
              </w:rPr>
              <w:t>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sz w:val="24"/>
              </w:rPr>
            </w:pPr>
            <w:r>
              <w:rPr>
                <w:rFonts w:hint="eastAsia" w:ascii="仿宋" w:hAnsi="仿宋" w:eastAsia="仿宋" w:cs="仿宋"/>
                <w:color w:val="000000"/>
                <w:kern w:val="0"/>
                <w:sz w:val="24"/>
              </w:rPr>
              <w:t>（一）规范健康体检，开展高危人群筛查与干预，加强癌症、心脑血管疾病等重大慢性病的早期发现与管理。</w:t>
            </w:r>
            <w:r>
              <w:rPr>
                <w:rFonts w:hint="eastAsia" w:ascii="仿宋" w:hAnsi="仿宋" w:eastAsia="仿宋" w:cs="仿宋"/>
                <w:bCs/>
                <w:color w:val="000000"/>
                <w:kern w:val="0"/>
                <w:sz w:val="24"/>
              </w:rPr>
              <w:t>（</w:t>
            </w:r>
            <w:r>
              <w:rPr>
                <w:rFonts w:ascii="仿宋" w:hAnsi="仿宋" w:eastAsia="仿宋" w:cs="仿宋"/>
                <w:bCs/>
                <w:color w:val="000000"/>
                <w:kern w:val="0"/>
                <w:sz w:val="24"/>
              </w:rPr>
              <w:t>17</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1.开展学生、老年人等重点人群和职工定期健康体检和健康指导。</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（1）学生健康体检率≥90%，2分；80-90%，1分；80%以下0分。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复审：学校对学生健康体检结果进行分析和反馈覆盖率≥50%，2分。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（2）65岁及以上老年人健康体检率≥90%，2分；80-90%，1分；80%以下0分。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（3）每2年1次体检并开展健康指导的机关事业单位和员工数超过50人的企业的覆盖率≥50%，3分；40-50%，2分；40%以下0分。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7</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提供人群体检报告、数据分析等相关资料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教体局、卫健委、医保局、总工会</w:t>
            </w:r>
          </w:p>
        </w:tc>
      </w:tr>
      <w:tr>
        <w:tblPrEx>
          <w:tblCellMar>
            <w:top w:w="15" w:type="dxa"/>
            <w:left w:w="15" w:type="dxa"/>
            <w:bottom w:w="15" w:type="dxa"/>
            <w:right w:w="15" w:type="dxa"/>
          </w:tblCellMar>
        </w:tblPrEx>
        <w:trPr>
          <w:trHeight w:val="627"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2.应用推广成熟的适宜技术，早期发现诊治患者，及时纳入基本公共卫生服务管理。</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（1）医疗机构首诊测血压率达到100%，2分；其余0分。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（2）开展心脑血管疾病、重点癌症、糖尿病、慢性阻塞性肺病等重大慢性病的筛查和早期诊断，每1项1分，满分4分。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（3）具备血糖、血脂、简易肺功能测定和大便隐血检测等4种技术并提供服务的社区卫生服务中心和乡镇卫生院的覆盖率≥70%，</w:t>
            </w:r>
            <w:r>
              <w:rPr>
                <w:rFonts w:ascii="仿宋" w:hAnsi="仿宋" w:eastAsia="仿宋" w:cs="仿宋"/>
                <w:color w:val="000000"/>
                <w:kern w:val="0"/>
                <w:sz w:val="24"/>
              </w:rPr>
              <w:t>2</w:t>
            </w:r>
            <w:r>
              <w:rPr>
                <w:rFonts w:hint="eastAsia" w:ascii="仿宋" w:hAnsi="仿宋" w:eastAsia="仿宋" w:cs="仿宋"/>
                <w:color w:val="000000"/>
                <w:kern w:val="0"/>
                <w:sz w:val="24"/>
              </w:rPr>
              <w:t>分；50-70%，1分；50%以下0分。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（4）提高加强个人健康档案与健康体检信息的利用，发现高危人群登记率100%，</w:t>
            </w:r>
            <w:r>
              <w:rPr>
                <w:rFonts w:ascii="仿宋" w:hAnsi="仿宋" w:eastAsia="仿宋" w:cs="仿宋"/>
                <w:color w:val="000000"/>
                <w:kern w:val="0"/>
                <w:sz w:val="24"/>
              </w:rPr>
              <w:t>1</w:t>
            </w:r>
            <w:r>
              <w:rPr>
                <w:rFonts w:hint="eastAsia" w:ascii="仿宋" w:hAnsi="仿宋" w:eastAsia="仿宋" w:cs="仿宋"/>
                <w:color w:val="000000"/>
                <w:kern w:val="0"/>
                <w:sz w:val="24"/>
              </w:rPr>
              <w:t>分，其余0分；高危人群纳入健康管理率≥30%，</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（1）提供首诊测血压记录表（2）开展重大慢性病筛查提供筛查登记本及筛查报告（3）社区卫生服务中心、卫生院提供4种检测数据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30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（二）建立分级诊疗制度，推进家庭医生签约服务，开展高血压、糖尿病等重点慢性病规范化管理。</w:t>
            </w:r>
            <w:r>
              <w:rPr>
                <w:rFonts w:hint="eastAsia" w:ascii="仿宋" w:hAnsi="仿宋" w:eastAsia="仿宋" w:cs="仿宋"/>
                <w:bCs/>
                <w:color w:val="000000"/>
                <w:kern w:val="0"/>
                <w:sz w:val="24"/>
              </w:rPr>
              <w:t>（</w:t>
            </w:r>
            <w:r>
              <w:rPr>
                <w:rFonts w:ascii="仿宋" w:hAnsi="仿宋" w:eastAsia="仿宋" w:cs="仿宋"/>
                <w:bCs/>
                <w:color w:val="000000"/>
                <w:kern w:val="0"/>
                <w:sz w:val="24"/>
              </w:rPr>
              <w:t>20</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1.开展基层首诊、双向转诊、急慢分治、上下联动的慢性病分级诊疗服务。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（1）建立分级诊疗制度，</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（2）落实并开展高血压与糖尿病基层首诊、双向转诊、急慢分治、上下联动的分级诊疗服务，基层医疗机构门诊量占比≥50%，</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（3）依托信息平台实现分级诊疗，2分；其余0分。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（1）建立制度（2）基层首诊记录，双向转诊登记等（3）查看数据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7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2.推进家庭医生签约服务，签约团队负责提供约定的基本医疗、公共卫生和健康管理服务。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家庭医生签约服务覆盖率高于本省平均水平30%及以上，3分；25-30%，1分；25%以下0分。</w:t>
            </w:r>
          </w:p>
          <w:p>
            <w:pPr>
              <w:widowControl/>
              <w:spacing w:line="600" w:lineRule="exact"/>
              <w:textAlignment w:val="top"/>
              <w:rPr>
                <w:rFonts w:ascii="仿宋" w:hAnsi="仿宋" w:eastAsia="仿宋" w:cs="仿宋"/>
                <w:color w:val="000000"/>
                <w:kern w:val="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9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3.提高人群高血压、糖尿病知晓率。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（1）30岁以上高血压知晓率≥60%，2分；55-60%，1分；55%以下0分。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（2）18岁以上糖尿病知晓率≥55%，2分；50-55％，1分；50%以下0分。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4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4.提高高血压、糖尿病患者规范管理率。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（1）35岁以上高血压患者规范管理率达到70%，2分；60%-70%，1分；60%以下不得分。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（2）35岁以上糖尿病患者规范管理率达到70%，2分；60%-70%，1分；60%以下不得分。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5.提高管理人群高血压、糖尿病患者的控制率。</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（1）高血压患者血压控制率高于全省平均水平5%及以上，2分；3-5%，1分；3%以下0分。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（2）糖尿病患者血糖控制率高于全省平均水平5%及以上，2分；3-5%，1分；3%以下0分。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提供数据</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w:t>
            </w:r>
          </w:p>
        </w:tc>
      </w:tr>
      <w:tr>
        <w:tblPrEx>
          <w:tblCellMar>
            <w:top w:w="15" w:type="dxa"/>
            <w:left w:w="15" w:type="dxa"/>
            <w:bottom w:w="15" w:type="dxa"/>
            <w:right w:w="15" w:type="dxa"/>
          </w:tblCellMar>
        </w:tblPrEx>
        <w:trPr>
          <w:trHeight w:val="458"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rPr>
            </w:pPr>
            <w:r>
              <w:rPr>
                <w:rFonts w:hint="eastAsia" w:ascii="仿宋" w:hAnsi="仿宋" w:eastAsia="仿宋" w:cs="仿宋"/>
                <w:color w:val="000000"/>
                <w:kern w:val="0"/>
                <w:sz w:val="24"/>
              </w:rPr>
              <w:t>（三）完善区域信息平台，实现医疗卫生机构间互联互通、信息共享。</w:t>
            </w:r>
            <w:r>
              <w:rPr>
                <w:rFonts w:hint="eastAsia" w:ascii="仿宋" w:hAnsi="仿宋" w:eastAsia="仿宋" w:cs="仿宋"/>
                <w:bCs/>
                <w:color w:val="000000"/>
                <w:kern w:val="0"/>
                <w:sz w:val="24"/>
              </w:rPr>
              <w:t>（15分）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1.建立区域卫生信息平台，实现公共卫生服务、诊疗信息互联互通。</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（1）建立区域卫生健康信息平台，4分；其余0分。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（2）专业公共卫生机构、二级及以上医院和基层医疗卫生机构之间实现互联互通和信息共享，3分；其余0分。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（3）实现电子健康档案和电子病历的连续记录和信息共享，3分；其余0分。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9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2.应用互联网+、健康大数据提供便捷、高效的健康管理服务。</w:t>
            </w:r>
          </w:p>
        </w:tc>
        <w:tc>
          <w:tcPr>
            <w:tcW w:w="5469"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（1）应用互联网+技术为签约服务的患者提供健康管理和诊疗服务，3分；其余0分。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（2）应用健康大数据为签约服务的患者提供健康管理和诊疗服务，2分；其余0分。</w:t>
            </w:r>
          </w:p>
        </w:tc>
        <w:tc>
          <w:tcPr>
            <w:tcW w:w="720"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31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textAlignment w:val="center"/>
              <w:rPr>
                <w:rFonts w:ascii="仿宋" w:hAnsi="仿宋" w:eastAsia="仿宋" w:cs="仿宋"/>
                <w:color w:val="000000"/>
                <w:sz w:val="24"/>
              </w:rPr>
            </w:pPr>
            <w:r>
              <w:rPr>
                <w:rFonts w:hint="eastAsia" w:ascii="仿宋" w:hAnsi="仿宋" w:eastAsia="仿宋" w:cs="仿宋"/>
                <w:color w:val="000000"/>
                <w:kern w:val="0"/>
                <w:sz w:val="24"/>
              </w:rPr>
              <w:t>（四）中西医并重，发挥中医药在慢性病预防、保健、诊疗、康复中的作用。</w:t>
            </w:r>
            <w:r>
              <w:rPr>
                <w:rFonts w:hint="eastAsia" w:ascii="仿宋" w:hAnsi="仿宋" w:eastAsia="仿宋" w:cs="仿宋"/>
                <w:bCs/>
                <w:color w:val="000000"/>
                <w:kern w:val="0"/>
                <w:sz w:val="24"/>
              </w:rPr>
              <w:t>（</w:t>
            </w:r>
            <w:r>
              <w:rPr>
                <w:rFonts w:ascii="仿宋" w:hAnsi="仿宋" w:eastAsia="仿宋" w:cs="仿宋"/>
                <w:bCs/>
                <w:color w:val="000000"/>
                <w:kern w:val="0"/>
                <w:sz w:val="24"/>
              </w:rPr>
              <w:t>7</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1.辖区各社区卫生服务中心、乡镇卫生院有中医综合服务区。</w:t>
            </w:r>
          </w:p>
        </w:tc>
        <w:tc>
          <w:tcPr>
            <w:tcW w:w="5469"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（1）乡镇卫生院/社区卫生服务中心提供6类以上中医非药物疗法的比例达到100%，2分；</w:t>
            </w:r>
          </w:p>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（2）社区卫生服务站/村卫生室提供4类以上中医非药物疗法的比例达到70%，2分；70%以下不得分。</w:t>
            </w:r>
          </w:p>
        </w:tc>
        <w:tc>
          <w:tcPr>
            <w:tcW w:w="720" w:type="dxa"/>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简介、环境图片</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06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2.开展中医药养生保健知识的宣传及中医适宜技术推广。</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（1）宣传中医药养生保健知识，1分；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（2）推广使用中医防治慢性病适宜技术，</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（3）对65岁以上老年人提供中医药健康管理；</w:t>
            </w:r>
            <w:r>
              <w:rPr>
                <w:rFonts w:ascii="仿宋" w:hAnsi="仿宋" w:eastAsia="仿宋" w:cs="仿宋"/>
                <w:color w:val="000000"/>
                <w:kern w:val="0"/>
                <w:sz w:val="24"/>
              </w:rPr>
              <w:t>1</w:t>
            </w:r>
            <w:r>
              <w:rPr>
                <w:rFonts w:hint="eastAsia" w:ascii="仿宋" w:hAnsi="仿宋" w:eastAsia="仿宋" w:cs="仿宋"/>
                <w:color w:val="000000"/>
                <w:kern w:val="0"/>
                <w:sz w:val="24"/>
              </w:rPr>
              <w:t>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宣传培训（通知、签到表、图片总结等）</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39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（五）做好基本医疗保险、城乡居民大病保险和医疗救助重大疾病保障的衔接。</w:t>
            </w:r>
            <w:r>
              <w:rPr>
                <w:rFonts w:hint="eastAsia" w:ascii="仿宋" w:hAnsi="仿宋" w:eastAsia="仿宋" w:cs="仿宋"/>
                <w:bCs/>
                <w:color w:val="000000"/>
                <w:kern w:val="0"/>
                <w:sz w:val="24"/>
              </w:rPr>
              <w:t>（</w:t>
            </w:r>
            <w:r>
              <w:rPr>
                <w:rFonts w:ascii="仿宋" w:hAnsi="仿宋" w:eastAsia="仿宋" w:cs="仿宋"/>
                <w:bCs/>
                <w:color w:val="000000"/>
                <w:kern w:val="0"/>
                <w:sz w:val="24"/>
              </w:rPr>
              <w:t>4</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1.做好基本医疗保险、城乡居民大病保险和医疗救助重大疾病保障。</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（1）落实基本医疗保险、大病保险和医疗救助重大疾病保障等相关政策，</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（2）提高签约慢性病患者的医疗保障水平和残疾人、流动人口、低收入等人群医疗救助水平的具体措施，</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kern w:val="0"/>
                <w:sz w:val="24"/>
              </w:rPr>
              <w:t>落实基本医疗保险、城乡居民大病保险和医疗救助重大疾病保障等相关政策情况</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医保局、民政局、残联</w:t>
            </w:r>
          </w:p>
        </w:tc>
      </w:tr>
      <w:tr>
        <w:tblPrEx>
          <w:tblCellMar>
            <w:top w:w="15" w:type="dxa"/>
            <w:left w:w="15" w:type="dxa"/>
            <w:bottom w:w="15" w:type="dxa"/>
            <w:right w:w="15" w:type="dxa"/>
          </w:tblCellMar>
        </w:tblPrEx>
        <w:trPr>
          <w:trHeight w:val="158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2.基层医疗卫生机构优先配备使用基本药物，根据自治区级医保药品报销目录，配备使用一定数量或比例的药品。</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（1）按基本药物目录配置，1分；其余0分。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复审：辖区基层医疗卫生服务机构设立药物绿色通道（包括延伸处方或长处方）1分。</w:t>
            </w:r>
          </w:p>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（2）按省级卫生健康行政部门规定和要求配备使用医保报销药物。</w:t>
            </w:r>
            <w:r>
              <w:rPr>
                <w:rFonts w:ascii="仿宋" w:hAnsi="仿宋" w:eastAsia="仿宋" w:cs="仿宋"/>
                <w:color w:val="000000"/>
                <w:kern w:val="0"/>
                <w:sz w:val="24"/>
              </w:rPr>
              <w:t>1</w:t>
            </w:r>
            <w:r>
              <w:rPr>
                <w:rFonts w:hint="eastAsia" w:ascii="仿宋" w:hAnsi="仿宋" w:eastAsia="仿宋" w:cs="仿宋"/>
                <w:color w:val="000000"/>
                <w:kern w:val="0"/>
                <w:sz w:val="24"/>
              </w:rPr>
              <w:t>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2</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（1)基本药物配置目录(2）提供资料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w:t>
            </w:r>
          </w:p>
        </w:tc>
      </w:tr>
      <w:tr>
        <w:tblPrEx>
          <w:tblCellMar>
            <w:top w:w="15" w:type="dxa"/>
            <w:left w:w="15" w:type="dxa"/>
            <w:bottom w:w="15" w:type="dxa"/>
            <w:right w:w="15" w:type="dxa"/>
          </w:tblCellMar>
        </w:tblPrEx>
        <w:trPr>
          <w:trHeight w:val="1283"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（六）动员社会力量参与慢性病防控工作，促进医养结合。</w:t>
            </w:r>
            <w:r>
              <w:rPr>
                <w:rFonts w:hint="eastAsia" w:ascii="仿宋" w:hAnsi="仿宋" w:eastAsia="仿宋" w:cs="仿宋"/>
                <w:bCs/>
                <w:color w:val="000000"/>
                <w:kern w:val="0"/>
                <w:sz w:val="24"/>
              </w:rPr>
              <w:t>（7分）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1.政府引导、市场驱动、社会力量参与，为慢性病患者提供健康管理服务。</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（1）有效引进社会资本参与慢性病防控，1分；其余0分。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（2）商业健康保险参与医疗救助，1分；其余0分。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（3）通过向社会力量购买服务的方式，为慢性病患者提供健康管理服务，2分；其余0分。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4</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ascii="仿宋" w:hAnsi="仿宋" w:eastAsia="仿宋" w:cs="仿宋"/>
                <w:color w:val="000000"/>
                <w:kern w:val="0"/>
                <w:sz w:val="24"/>
              </w:rPr>
            </w:pPr>
            <w:r>
              <w:rPr>
                <w:rFonts w:hint="eastAsia" w:ascii="仿宋" w:hAnsi="仿宋" w:eastAsia="仿宋" w:cs="仿宋"/>
                <w:kern w:val="0"/>
                <w:sz w:val="24"/>
              </w:rPr>
              <w:t>相关佐证材料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政府办、人社局、卫健委、医保局、相关成员单位</w:t>
            </w:r>
          </w:p>
        </w:tc>
      </w:tr>
      <w:tr>
        <w:tblPrEx>
          <w:tblCellMar>
            <w:top w:w="15" w:type="dxa"/>
            <w:left w:w="15" w:type="dxa"/>
            <w:bottom w:w="15" w:type="dxa"/>
            <w:right w:w="15" w:type="dxa"/>
          </w:tblCellMar>
        </w:tblPrEx>
        <w:trPr>
          <w:trHeight w:val="330"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2.促进慢性病全程防治管理服务与社区居家养老和机构养老服务融合。</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（1）辖区内每个街道（乡镇除外）均设有为居家养老的半失能老年人提供日间托养服务的社区老年人日间照料中心，1分；其余0分。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（2）以不同形式为入住老年人提供医疗卫生服务的养老机构比例达到100%，1分；其余0分。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（3）设置老年医学科的二级及以上综合性医院比例达到70%，得1分；50%-70%，得0.5分；50%以下0分。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3</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提供相关档案资料（实地查看）</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民政局、卫健委、各街道</w:t>
            </w:r>
          </w:p>
        </w:tc>
      </w:tr>
      <w:tr>
        <w:tblPrEx>
          <w:tblCellMar>
            <w:top w:w="15" w:type="dxa"/>
            <w:left w:w="15" w:type="dxa"/>
            <w:bottom w:w="15" w:type="dxa"/>
            <w:right w:w="15" w:type="dxa"/>
          </w:tblCellMar>
        </w:tblPrEx>
        <w:trPr>
          <w:trHeight w:val="1668"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七、监测评估</w:t>
            </w:r>
          </w:p>
          <w:p>
            <w:pPr>
              <w:widowControl/>
              <w:spacing w:line="60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（30分）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sz w:val="24"/>
              </w:rPr>
            </w:pPr>
            <w:r>
              <w:rPr>
                <w:rFonts w:hint="eastAsia" w:ascii="仿宋" w:hAnsi="仿宋" w:eastAsia="仿宋" w:cs="仿宋"/>
                <w:color w:val="000000"/>
                <w:kern w:val="0"/>
                <w:sz w:val="24"/>
              </w:rPr>
              <w:t>（一）开展过程质量控制和重点慢性病监测工作。</w:t>
            </w:r>
            <w:r>
              <w:rPr>
                <w:rFonts w:hint="eastAsia" w:ascii="仿宋" w:hAnsi="仿宋" w:eastAsia="仿宋" w:cs="仿宋"/>
                <w:bCs/>
                <w:color w:val="000000"/>
                <w:kern w:val="0"/>
                <w:sz w:val="24"/>
              </w:rPr>
              <w:t>（20分）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1.规范开展覆盖辖区慢性病及相关危险因素监测，掌握辖区重点慢性病状况、影响因素和疾病负担。</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全人群的死因监测、慢性病与营养监测（含心脑血管事件监测、慢性阻塞性肺疾病监测）、肿瘤随访登记等重大慢性病登记报告达到基本技术指标，完成报告。</w:t>
            </w:r>
          </w:p>
          <w:p>
            <w:pPr>
              <w:widowControl/>
              <w:numPr>
                <w:ilvl w:val="0"/>
                <w:numId w:val="2"/>
              </w:numPr>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死因监测，2分；其余0分。</w:t>
            </w:r>
          </w:p>
          <w:p>
            <w:pPr>
              <w:widowControl/>
              <w:numPr>
                <w:ilvl w:val="0"/>
                <w:numId w:val="2"/>
              </w:numPr>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慢性病与营养监测，6分。</w:t>
            </w:r>
          </w:p>
          <w:p>
            <w:pPr>
              <w:widowControl/>
              <w:spacing w:line="600" w:lineRule="exact"/>
              <w:textAlignment w:val="center"/>
              <w:rPr>
                <w:rFonts w:ascii="仿宋" w:hAnsi="仿宋" w:eastAsia="仿宋" w:cs="仿宋"/>
                <w:color w:val="000000"/>
                <w:kern w:val="0"/>
                <w:sz w:val="24"/>
              </w:rPr>
            </w:pPr>
            <w:r>
              <w:rPr>
                <w:rFonts w:hint="eastAsia" w:ascii="仿宋" w:hAnsi="仿宋" w:eastAsia="仿宋" w:cs="仿宋"/>
                <w:color w:val="000000"/>
                <w:kern w:val="0"/>
                <w:sz w:val="24"/>
              </w:rPr>
              <w:t>（3）肿瘤随访登记，2分；其余0分。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kern w:val="0"/>
                <w:sz w:val="24"/>
              </w:rPr>
              <w:t>做好居民死亡信息监测工作，提供居民死亡情况资料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公安分局、民政局、卫健委(疾控中心）、人社局、各镇街道</w:t>
            </w:r>
          </w:p>
        </w:tc>
      </w:tr>
      <w:tr>
        <w:tblPrEx>
          <w:tblCellMar>
            <w:top w:w="15" w:type="dxa"/>
            <w:left w:w="15" w:type="dxa"/>
            <w:bottom w:w="15" w:type="dxa"/>
            <w:right w:w="15" w:type="dxa"/>
          </w:tblCellMar>
        </w:tblPrEx>
        <w:trPr>
          <w:trHeight w:val="63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60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sz w:val="24"/>
              </w:rPr>
            </w:pPr>
            <w:r>
              <w:rPr>
                <w:rFonts w:hint="eastAsia" w:ascii="仿宋" w:hAnsi="仿宋" w:eastAsia="仿宋" w:cs="仿宋"/>
                <w:color w:val="000000"/>
                <w:kern w:val="0"/>
                <w:sz w:val="24"/>
              </w:rPr>
              <w:t>2.慢性病监测数据互联互通。</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（1）利用自治区、地市、旗区三级人口健康信息和疾病预防控制信息管理系统，实现重点慢性病监测数据互联互通，5分；其余0分。</w:t>
            </w:r>
          </w:p>
          <w:p>
            <w:pPr>
              <w:widowControl/>
              <w:spacing w:line="60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（2）慢性病监测数据管理利用得到自治区级及以上卫生行政部门认可推广，5分；其余0分。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做好慢性病数据收集工作</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top"/>
              <w:rPr>
                <w:rFonts w:ascii="仿宋" w:hAnsi="仿宋" w:eastAsia="仿宋" w:cs="仿宋"/>
                <w:color w:val="000000"/>
                <w:kern w:val="0"/>
                <w:sz w:val="24"/>
              </w:rPr>
            </w:pPr>
            <w:r>
              <w:rPr>
                <w:rFonts w:hint="eastAsia" w:ascii="仿宋" w:hAnsi="仿宋" w:eastAsia="仿宋" w:cs="仿宋"/>
                <w:color w:val="000000"/>
                <w:kern w:val="0"/>
                <w:sz w:val="24"/>
              </w:rPr>
              <w:t>卫健委(疾控中心）、医保局</w:t>
            </w:r>
          </w:p>
        </w:tc>
      </w:tr>
      <w:tr>
        <w:tblPrEx>
          <w:tblCellMar>
            <w:top w:w="15" w:type="dxa"/>
            <w:left w:w="15" w:type="dxa"/>
            <w:bottom w:w="15" w:type="dxa"/>
            <w:right w:w="15" w:type="dxa"/>
          </w:tblCellMar>
        </w:tblPrEx>
        <w:trPr>
          <w:trHeight w:val="4356"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 w:hAnsi="仿宋" w:eastAsia="仿宋" w:cs="仿宋"/>
                <w:color w:val="000000"/>
                <w:sz w:val="24"/>
              </w:rPr>
            </w:pP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仿宋" w:hAnsi="仿宋" w:eastAsia="仿宋" w:cs="仿宋"/>
                <w:color w:val="000000"/>
                <w:sz w:val="24"/>
              </w:rPr>
            </w:pPr>
            <w:r>
              <w:rPr>
                <w:rFonts w:hint="eastAsia" w:ascii="仿宋" w:hAnsi="仿宋" w:eastAsia="仿宋" w:cs="仿宋"/>
                <w:color w:val="000000"/>
                <w:kern w:val="0"/>
                <w:sz w:val="24"/>
              </w:rPr>
              <w:t>（二）开展慢性病防控社会因素调查。</w:t>
            </w:r>
            <w:r>
              <w:rPr>
                <w:rFonts w:hint="eastAsia" w:ascii="仿宋" w:hAnsi="仿宋" w:eastAsia="仿宋" w:cs="仿宋"/>
                <w:bCs/>
                <w:color w:val="000000"/>
                <w:kern w:val="0"/>
                <w:sz w:val="24"/>
              </w:rPr>
              <w:t>（10分）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1.辖区每5年开展一次慢性病及社会影响因素状况调查。</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（1）规范制定慢性病及社会影响因素状况调查方案，2分；其余0分。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（2）综合运用社会学、流行病学及管理学理论与方法开展慢性病及社会影响因素状况调查，完成调查技术报告，2分；其余0分。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（3）技术报告信息来源权威、准确、多元、综合，报告结构完整，有背景、方法、现状与主要问题、资源分析、预期目标、主要对策与具体措施等内容，2分；其余0分。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（4）技术报告调查结果清晰、调查依据正确、对策合乎逻辑、目标设定科学、措施设计得当，2分；其余0分。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（5）技术报告结果用于指引、评估示范区建设及慢性病综合防控工作计划的制定，2分；其余0分。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ascii="仿宋" w:hAnsi="仿宋" w:eastAsia="仿宋" w:cs="仿宋"/>
                <w:color w:val="000000"/>
                <w:kern w:val="0"/>
                <w:sz w:val="24"/>
              </w:rPr>
            </w:pPr>
            <w:r>
              <w:rPr>
                <w:rFonts w:hint="eastAsia" w:ascii="仿宋" w:hAnsi="仿宋" w:eastAsia="仿宋" w:cs="仿宋"/>
                <w:color w:val="000000"/>
                <w:kern w:val="0"/>
                <w:sz w:val="24"/>
              </w:rPr>
              <w:t>社会因素调查报告等相关资料</w:t>
            </w: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政府办、卫健委(疾控中心）</w:t>
            </w:r>
          </w:p>
        </w:tc>
      </w:tr>
      <w:tr>
        <w:tblPrEx>
          <w:tblCellMar>
            <w:top w:w="15" w:type="dxa"/>
            <w:left w:w="15" w:type="dxa"/>
            <w:bottom w:w="15" w:type="dxa"/>
            <w:right w:w="15" w:type="dxa"/>
          </w:tblCellMar>
        </w:tblPrEx>
        <w:trPr>
          <w:trHeight w:val="2600"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kern w:val="0"/>
                <w:sz w:val="24"/>
              </w:rPr>
            </w:pPr>
            <w:r>
              <w:rPr>
                <w:rFonts w:hint="eastAsia" w:ascii="仿宋" w:hAnsi="仿宋" w:eastAsia="仿宋" w:cs="仿宋"/>
                <w:bCs/>
                <w:color w:val="000000"/>
                <w:kern w:val="0"/>
                <w:sz w:val="24"/>
              </w:rPr>
              <w:t>八、创新引领</w:t>
            </w:r>
          </w:p>
          <w:p>
            <w:pPr>
              <w:widowControl/>
              <w:spacing w:line="520" w:lineRule="exact"/>
              <w:jc w:val="center"/>
              <w:textAlignment w:val="center"/>
              <w:rPr>
                <w:rFonts w:ascii="仿宋" w:hAnsi="仿宋" w:eastAsia="仿宋" w:cs="仿宋"/>
                <w:color w:val="000000"/>
                <w:sz w:val="24"/>
              </w:rPr>
            </w:pP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170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center"/>
              <w:rPr>
                <w:rFonts w:ascii="仿宋" w:hAnsi="仿宋" w:eastAsia="仿宋" w:cs="仿宋"/>
                <w:color w:val="000000"/>
                <w:sz w:val="24"/>
              </w:rPr>
            </w:pPr>
            <w:r>
              <w:rPr>
                <w:rFonts w:hint="eastAsia" w:ascii="仿宋" w:hAnsi="仿宋" w:eastAsia="仿宋" w:cs="仿宋"/>
                <w:color w:val="000000"/>
                <w:kern w:val="0"/>
                <w:sz w:val="24"/>
              </w:rPr>
              <w:t>慢性病综合防控工作有特色、可复制、可推广。</w:t>
            </w:r>
            <w:r>
              <w:rPr>
                <w:rFonts w:hint="eastAsia" w:ascii="仿宋" w:hAnsi="仿宋" w:eastAsia="仿宋" w:cs="仿宋"/>
                <w:bCs/>
                <w:color w:val="000000"/>
                <w:kern w:val="0"/>
                <w:sz w:val="24"/>
              </w:rPr>
              <w:t>（</w:t>
            </w:r>
            <w:r>
              <w:rPr>
                <w:rFonts w:ascii="仿宋" w:hAnsi="仿宋" w:eastAsia="仿宋" w:cs="仿宋"/>
                <w:bCs/>
                <w:color w:val="000000"/>
                <w:kern w:val="0"/>
                <w:sz w:val="24"/>
              </w:rPr>
              <w:t>35</w:t>
            </w:r>
            <w:r>
              <w:rPr>
                <w:rFonts w:hint="eastAsia" w:ascii="仿宋" w:hAnsi="仿宋" w:eastAsia="仿宋" w:cs="仿宋"/>
                <w:bCs/>
                <w:color w:val="000000"/>
                <w:kern w:val="0"/>
                <w:sz w:val="24"/>
              </w:rPr>
              <w:t>分）</w:t>
            </w: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sz w:val="24"/>
              </w:rPr>
            </w:pPr>
            <w:r>
              <w:rPr>
                <w:rFonts w:hint="eastAsia" w:ascii="仿宋" w:hAnsi="仿宋" w:eastAsia="仿宋" w:cs="仿宋"/>
                <w:color w:val="000000"/>
                <w:kern w:val="0"/>
                <w:sz w:val="24"/>
              </w:rPr>
              <w:t>1.倡导慢性病综合防控工作与当地社会、文化等建设和公共服务、公共产品供给相结合。</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慢性病综合防控工作与辖区社区文化建设、健康城市建设、文明创建、公共服务与公共产品等相关项目有机衔接整合，以达到1+1&gt;2的实际效果。建立协同工作机制并有效衔接达5项，10分；2-</w:t>
            </w:r>
            <w:r>
              <w:rPr>
                <w:rFonts w:ascii="仿宋" w:hAnsi="仿宋" w:eastAsia="仿宋" w:cs="仿宋"/>
                <w:color w:val="000000"/>
                <w:kern w:val="0"/>
                <w:sz w:val="24"/>
              </w:rPr>
              <w:t>4</w:t>
            </w:r>
            <w:r>
              <w:rPr>
                <w:rFonts w:hint="eastAsia" w:ascii="仿宋" w:hAnsi="仿宋" w:eastAsia="仿宋" w:cs="仿宋"/>
                <w:color w:val="000000"/>
                <w:kern w:val="0"/>
                <w:sz w:val="24"/>
              </w:rPr>
              <w:t>项，5分；其余0分。</w:t>
            </w:r>
          </w:p>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未达到提高实际效果者分数减半。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政府办、宣传部、卫健委、各成员单位</w:t>
            </w:r>
          </w:p>
        </w:tc>
      </w:tr>
      <w:tr>
        <w:tblPrEx>
          <w:tblCellMar>
            <w:top w:w="15" w:type="dxa"/>
            <w:left w:w="15" w:type="dxa"/>
            <w:bottom w:w="15" w:type="dxa"/>
            <w:right w:w="15" w:type="dxa"/>
          </w:tblCellMar>
        </w:tblPrEx>
        <w:trPr>
          <w:trHeight w:val="968"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2.总结有创新、特色案例。</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创新特色案例达2个，案例撰写符合要求，15分；1个，10分；其余0分。案例撰写不符合要求者分数减半。</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复审：区别于创建年份的创新特色案例达到3个，撰写符合要求，15分；2个，10分；其余0分。案例撰写不符合要求者分数减半。</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案例撰写要求包括：主题鲜明突出防控重点、技术流程清晰逻辑性强、特色突出创新意识明显、易于被推广可操作性强。</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15</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政府办、卫健委、各成员单位</w:t>
            </w:r>
          </w:p>
        </w:tc>
      </w:tr>
      <w:tr>
        <w:tblPrEx>
          <w:tblCellMar>
            <w:top w:w="15" w:type="dxa"/>
            <w:left w:w="15" w:type="dxa"/>
            <w:bottom w:w="15" w:type="dxa"/>
            <w:right w:w="15" w:type="dxa"/>
          </w:tblCellMar>
        </w:tblPrEx>
        <w:trPr>
          <w:trHeight w:val="2174"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仿宋" w:hAnsi="仿宋" w:eastAsia="仿宋" w:cs="仿宋"/>
                <w:color w:val="000000"/>
                <w:sz w:val="24"/>
              </w:rPr>
            </w:pPr>
          </w:p>
        </w:tc>
        <w:tc>
          <w:tcPr>
            <w:tcW w:w="252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sz w:val="24"/>
              </w:rPr>
            </w:pPr>
            <w:r>
              <w:rPr>
                <w:rFonts w:hint="eastAsia" w:ascii="仿宋" w:hAnsi="仿宋" w:eastAsia="仿宋" w:cs="仿宋"/>
                <w:color w:val="000000"/>
                <w:kern w:val="0"/>
                <w:sz w:val="24"/>
              </w:rPr>
              <w:t>3.示范区建设成功经验起到示范引领作用。</w:t>
            </w:r>
          </w:p>
        </w:tc>
        <w:tc>
          <w:tcPr>
            <w:tcW w:w="54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（1）示范区建设成功经验在本辖区得到有效推广应用2项及以上，</w:t>
            </w:r>
            <w:r>
              <w:rPr>
                <w:rFonts w:ascii="仿宋" w:hAnsi="仿宋" w:eastAsia="仿宋" w:cs="仿宋"/>
                <w:color w:val="000000"/>
                <w:kern w:val="0"/>
                <w:sz w:val="24"/>
              </w:rPr>
              <w:t>5</w:t>
            </w:r>
            <w:r>
              <w:rPr>
                <w:rFonts w:hint="eastAsia" w:ascii="仿宋" w:hAnsi="仿宋" w:eastAsia="仿宋" w:cs="仿宋"/>
                <w:color w:val="000000"/>
                <w:kern w:val="0"/>
                <w:sz w:val="24"/>
              </w:rPr>
              <w:t>分；1项，</w:t>
            </w:r>
            <w:r>
              <w:rPr>
                <w:rFonts w:ascii="仿宋" w:hAnsi="仿宋" w:eastAsia="仿宋" w:cs="仿宋"/>
                <w:color w:val="000000"/>
                <w:kern w:val="0"/>
                <w:sz w:val="24"/>
              </w:rPr>
              <w:t>2</w:t>
            </w:r>
            <w:r>
              <w:rPr>
                <w:rFonts w:hint="eastAsia" w:ascii="仿宋" w:hAnsi="仿宋" w:eastAsia="仿宋" w:cs="仿宋"/>
                <w:color w:val="000000"/>
                <w:kern w:val="0"/>
                <w:sz w:val="24"/>
              </w:rPr>
              <w:t>分；其余0分。</w:t>
            </w:r>
          </w:p>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（2）示范区建设成功经验在辖区外得到有效推广应用2项及以上，</w:t>
            </w:r>
            <w:r>
              <w:rPr>
                <w:rFonts w:ascii="仿宋" w:hAnsi="仿宋" w:eastAsia="仿宋" w:cs="仿宋"/>
                <w:color w:val="000000"/>
                <w:kern w:val="0"/>
                <w:sz w:val="24"/>
              </w:rPr>
              <w:t>5</w:t>
            </w:r>
            <w:r>
              <w:rPr>
                <w:rFonts w:hint="eastAsia" w:ascii="仿宋" w:hAnsi="仿宋" w:eastAsia="仿宋" w:cs="仿宋"/>
                <w:color w:val="000000"/>
                <w:kern w:val="0"/>
                <w:sz w:val="24"/>
              </w:rPr>
              <w:t>分；1项，2分；其余0分。</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10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top"/>
              <w:rPr>
                <w:rFonts w:ascii="仿宋" w:hAnsi="仿宋" w:eastAsia="仿宋" w:cs="仿宋"/>
                <w:color w:val="000000"/>
                <w:kern w:val="0"/>
                <w:sz w:val="24"/>
              </w:rPr>
            </w:pPr>
            <w:r>
              <w:rPr>
                <w:rFonts w:hint="eastAsia" w:ascii="仿宋" w:hAnsi="仿宋" w:eastAsia="仿宋" w:cs="仿宋"/>
                <w:color w:val="000000"/>
                <w:kern w:val="0"/>
                <w:sz w:val="24"/>
              </w:rPr>
              <w:t>政府办、卫健委、各成员单位</w:t>
            </w:r>
          </w:p>
        </w:tc>
      </w:tr>
      <w:tr>
        <w:tblPrEx>
          <w:tblCellMar>
            <w:top w:w="15" w:type="dxa"/>
            <w:left w:w="15" w:type="dxa"/>
            <w:bottom w:w="15" w:type="dxa"/>
            <w:right w:w="15" w:type="dxa"/>
          </w:tblCellMar>
        </w:tblPrEx>
        <w:trPr>
          <w:trHeight w:val="675"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hint="eastAsia" w:ascii="仿宋" w:hAnsi="仿宋" w:eastAsia="仿宋" w:cs="仿宋"/>
                <w:bCs/>
                <w:color w:val="000000"/>
                <w:kern w:val="0"/>
                <w:sz w:val="24"/>
              </w:rPr>
              <w:t>合计</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bCs/>
                <w:color w:val="000000"/>
                <w:sz w:val="24"/>
              </w:rPr>
            </w:pPr>
            <w:r>
              <w:rPr>
                <w:rFonts w:ascii="仿宋" w:hAnsi="仿宋" w:eastAsia="仿宋" w:cs="仿宋"/>
                <w:bCs/>
                <w:color w:val="000000"/>
                <w:sz w:val="24"/>
              </w:rPr>
              <w:t>300</w:t>
            </w:r>
          </w:p>
        </w:tc>
        <w:tc>
          <w:tcPr>
            <w:tcW w:w="2523" w:type="dxa"/>
            <w:tcBorders>
              <w:top w:val="single" w:color="000000" w:sz="4" w:space="0"/>
              <w:left w:val="single" w:color="000000" w:sz="4" w:space="0"/>
              <w:bottom w:val="single" w:color="000000" w:sz="4" w:space="0"/>
              <w:right w:val="single" w:color="000000" w:sz="4" w:space="0"/>
            </w:tcBorders>
          </w:tcPr>
          <w:p>
            <w:pPr>
              <w:spacing w:line="320" w:lineRule="exact"/>
              <w:rPr>
                <w:rFonts w:ascii="仿宋" w:hAnsi="仿宋" w:eastAsia="仿宋" w:cs="仿宋"/>
                <w:bCs/>
                <w:color w:val="000000"/>
                <w:sz w:val="24"/>
              </w:rPr>
            </w:pPr>
          </w:p>
        </w:tc>
        <w:tc>
          <w:tcPr>
            <w:tcW w:w="5469" w:type="dxa"/>
            <w:tcBorders>
              <w:top w:val="single" w:color="000000" w:sz="4" w:space="0"/>
              <w:left w:val="single" w:color="000000" w:sz="4" w:space="0"/>
              <w:bottom w:val="single" w:color="000000" w:sz="4" w:space="0"/>
              <w:right w:val="single" w:color="000000" w:sz="4" w:space="0"/>
            </w:tcBorders>
          </w:tcPr>
          <w:p>
            <w:pPr>
              <w:spacing w:line="320" w:lineRule="exact"/>
              <w:rPr>
                <w:rFonts w:ascii="仿宋" w:hAnsi="仿宋" w:eastAsia="仿宋" w:cs="仿宋"/>
                <w:bCs/>
                <w:color w:val="000000"/>
                <w:sz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sz w:val="24"/>
              </w:rPr>
            </w:pPr>
            <w:r>
              <w:rPr>
                <w:rFonts w:ascii="仿宋" w:hAnsi="仿宋" w:eastAsia="仿宋" w:cs="仿宋"/>
                <w:bCs/>
                <w:color w:val="000000"/>
                <w:kern w:val="0"/>
                <w:sz w:val="24"/>
              </w:rPr>
              <w:t>300</w:t>
            </w:r>
          </w:p>
        </w:tc>
        <w:tc>
          <w:tcPr>
            <w:tcW w:w="29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bCs/>
                <w:color w:val="000000"/>
                <w:kern w:val="0"/>
                <w:sz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 w:hAnsi="仿宋" w:eastAsia="仿宋" w:cs="仿宋"/>
                <w:color w:val="000000"/>
                <w:kern w:val="0"/>
                <w:sz w:val="24"/>
              </w:rPr>
            </w:pPr>
          </w:p>
        </w:tc>
      </w:tr>
    </w:tbl>
    <w:p/>
    <w:sectPr>
      <w:pgSz w:w="16838" w:h="11906" w:orient="landscape"/>
      <w:pgMar w:top="1800" w:right="149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6F4B"/>
    <w:multiLevelType w:val="singleLevel"/>
    <w:tmpl w:val="10706F4B"/>
    <w:lvl w:ilvl="0" w:tentative="0">
      <w:start w:val="1"/>
      <w:numFmt w:val="decimal"/>
      <w:suff w:val="nothing"/>
      <w:lvlText w:val="（%1）"/>
      <w:lvlJc w:val="left"/>
    </w:lvl>
  </w:abstractNum>
  <w:abstractNum w:abstractNumId="1">
    <w:nsid w:val="69A34BAB"/>
    <w:multiLevelType w:val="singleLevel"/>
    <w:tmpl w:val="69A34BA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E1NDEwYWJmODFkNGRiNDFlNDZiNDJiMmQxNmIifQ=="/>
  </w:docVars>
  <w:rsids>
    <w:rsidRoot w:val="1ABF2451"/>
    <w:rsid w:val="1ABF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font11"/>
    <w:basedOn w:val="6"/>
    <w:qFormat/>
    <w:uiPriority w:val="0"/>
    <w:rPr>
      <w:rFonts w:hint="eastAsia" w:ascii="仿宋" w:hAnsi="仿宋" w:eastAsia="仿宋" w:cs="仿宋"/>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10842</Words>
  <Characters>11361</Characters>
  <Lines>0</Lines>
  <Paragraphs>0</Paragraphs>
  <TotalTime>1</TotalTime>
  <ScaleCrop>false</ScaleCrop>
  <LinksUpToDate>false</LinksUpToDate>
  <CharactersWithSpaces>11401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2023-08-10T06:35:00Z</dcterms:created>
  <dc:creator>莎莎</dc:creator>
  <cp:lastModifiedBy>莎莎</cp:lastModifiedBy>
  <dcterms:modified xsi:type="dcterms:W3CDTF">2023-08-10T06:37:32Z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0415C660DE6348479EFCEBF74F3E67F5_11</vt:lpwstr>
  </property>
</Properties>
</file>